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22" w:right="144" w:firstLine="0"/>
        <w:jc w:val="left"/>
      </w:pPr>
      <w:r>
        <w:rPr>
          <w:rFonts w:ascii="Roboto" w:hAnsi="Roboto" w:eastAsia="Roboto"/>
          <w:b/>
          <w:i w:val="0"/>
          <w:color w:val="0F172A"/>
          <w:sz w:val="48"/>
        </w:rPr>
        <w:t xml:space="preserve">Documento Explicativo da Interface — Projeto </w:t>
      </w:r>
      <w:r>
        <w:rPr>
          <w:rFonts w:ascii="Roboto" w:hAnsi="Roboto" w:eastAsia="Roboto"/>
          <w:b/>
          <w:i w:val="0"/>
          <w:color w:val="0F172A"/>
          <w:sz w:val="48"/>
        </w:rPr>
        <w:t>IARA</w:t>
      </w:r>
    </w:p>
    <w:p>
      <w:pPr>
        <w:autoSpaceDN w:val="0"/>
        <w:tabs>
          <w:tab w:pos="22" w:val="left"/>
        </w:tabs>
        <w:autoSpaceDE w:val="0"/>
        <w:widowControl/>
        <w:spacing w:line="250" w:lineRule="auto" w:before="510" w:after="0"/>
        <w:ind w:left="0" w:right="864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 xml:space="preserve">Plataforma: IARA — Inteligência Artificial de Raciocínio </w:t>
      </w:r>
      <w:r>
        <w:rPr>
          <w:rFonts w:ascii="Roboto" w:hAnsi="Roboto" w:eastAsia="Roboto"/>
          <w:b/>
          <w:i w:val="0"/>
          <w:color w:val="0F172A"/>
          <w:sz w:val="36"/>
        </w:rPr>
        <w:t xml:space="preserve">Algorítmico </w:t>
      </w:r>
      <w:r>
        <w:br/>
      </w:r>
      <w:r>
        <w:rPr>
          <w:rFonts w:ascii="Roboto" w:hAnsi="Roboto" w:eastAsia="Roboto"/>
          <w:b/>
          <w:i w:val="0"/>
          <w:color w:val="0F172A"/>
          <w:sz w:val="36"/>
        </w:rPr>
        <w:t>Alunos: Leonardo Borges, Alan Chromiec</w:t>
      </w:r>
    </w:p>
    <w:p>
      <w:pPr>
        <w:autoSpaceDN w:val="0"/>
        <w:autoSpaceDE w:val="0"/>
        <w:widowControl/>
        <w:spacing w:line="240" w:lineRule="auto" w:before="464" w:after="0"/>
        <w:ind w:left="22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>1. Visão Geral e Proposta Pedagógica do Sistema</w:t>
      </w:r>
    </w:p>
    <w:p>
      <w:pPr>
        <w:autoSpaceDN w:val="0"/>
        <w:autoSpaceDE w:val="0"/>
        <w:widowControl/>
        <w:spacing w:line="286" w:lineRule="auto" w:before="470" w:after="0"/>
        <w:ind w:left="22" w:right="144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O </w:t>
      </w:r>
      <w:r>
        <w:rPr>
          <w:rFonts w:ascii="Roboto" w:hAnsi="Roboto" w:eastAsia="Roboto"/>
          <w:b/>
          <w:i w:val="0"/>
          <w:color w:val="334155"/>
          <w:sz w:val="24"/>
        </w:rPr>
        <w:t>IARA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(Inteligência Artificial de Raciocínio Algorítmico) é um sistema web educacional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projetado para atuar como tutora inteligente no ensino de programação, estruturas de dados </w:t>
      </w:r>
      <w:r>
        <w:rPr>
          <w:rFonts w:ascii="Roboto" w:hAnsi="Roboto" w:eastAsia="Roboto"/>
          <w:b w:val="0"/>
          <w:i w:val="0"/>
          <w:color w:val="334155"/>
          <w:sz w:val="24"/>
        </w:rPr>
        <w:t>e lógica de algoritmos para estudantes de nível universitário.</w:t>
      </w:r>
    </w:p>
    <w:p>
      <w:pPr>
        <w:autoSpaceDN w:val="0"/>
        <w:autoSpaceDE w:val="0"/>
        <w:widowControl/>
        <w:spacing w:line="293" w:lineRule="auto" w:before="320" w:after="0"/>
        <w:ind w:left="22" w:right="0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Diferente de assistentes genéricos de código que apenas entregam soluções prontas, o IARA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adota a </w:t>
      </w:r>
      <w:r>
        <w:rPr>
          <w:rFonts w:ascii="Roboto" w:hAnsi="Roboto" w:eastAsia="Roboto"/>
          <w:b/>
          <w:i w:val="0"/>
          <w:color w:val="334155"/>
          <w:sz w:val="24"/>
        </w:rPr>
        <w:t>metodologia PBL (Problem-Based Learning) e o Método Socrático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. A interface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conduz o estudante através de perguntas reflexivas, identificação de erros de raciocínio e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explicação passo a passo da memória e execução de algoritmos em linguagens como C++ e </w:t>
      </w:r>
      <w:r>
        <w:rPr>
          <w:rFonts w:ascii="Roboto" w:hAnsi="Roboto" w:eastAsia="Roboto"/>
          <w:b w:val="0"/>
          <w:i w:val="0"/>
          <w:color w:val="334155"/>
          <w:sz w:val="24"/>
        </w:rPr>
        <w:t>Python.</w:t>
      </w:r>
    </w:p>
    <w:p>
      <w:pPr>
        <w:autoSpaceDN w:val="0"/>
        <w:autoSpaceDE w:val="0"/>
        <w:widowControl/>
        <w:spacing w:line="290" w:lineRule="auto" w:before="320" w:after="0"/>
        <w:ind w:left="22" w:right="288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Para que o aluno possa se concentrar no aprendizado complexo de lógica sem distrações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visuais ou frustrações técnicas, a interface web foi desenvolvida com base em rigorosos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princípios de </w:t>
      </w:r>
      <w:r>
        <w:rPr>
          <w:rFonts w:ascii="Roboto" w:hAnsi="Roboto" w:eastAsia="Roboto"/>
          <w:b/>
          <w:i w:val="0"/>
          <w:color w:val="334155"/>
          <w:sz w:val="24"/>
        </w:rPr>
        <w:t>Design de Interação (IxD)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rFonts w:ascii="Roboto" w:hAnsi="Roboto" w:eastAsia="Roboto"/>
          <w:b/>
          <w:i w:val="0"/>
          <w:color w:val="334155"/>
          <w:sz w:val="24"/>
        </w:rPr>
        <w:t>Ergonomia Cognitiva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rFonts w:ascii="Roboto" w:hAnsi="Roboto" w:eastAsia="Roboto"/>
          <w:b/>
          <w:i w:val="0"/>
          <w:color w:val="334155"/>
          <w:sz w:val="24"/>
        </w:rPr>
        <w:t>Usabilidade (ISO 9241-11)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e </w:t>
      </w:r>
      <w:r>
        <w:rPr>
          <w:rFonts w:ascii="Roboto" w:hAnsi="Roboto" w:eastAsia="Roboto"/>
          <w:b/>
          <w:i w:val="0"/>
          <w:color w:val="334155"/>
          <w:sz w:val="24"/>
        </w:rPr>
        <w:t>Acessibilidade (WCAG 2.1)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autoSpaceDE w:val="0"/>
        <w:widowControl/>
        <w:spacing w:line="247" w:lineRule="auto" w:before="838" w:after="0"/>
        <w:ind w:left="22" w:right="1584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 xml:space="preserve">2. Elementos da Interface e Interação (Affordance e </w:t>
      </w:r>
      <w:r>
        <w:rPr>
          <w:rFonts w:ascii="Roboto" w:hAnsi="Roboto" w:eastAsia="Roboto"/>
          <w:b/>
          <w:i w:val="0"/>
          <w:color w:val="0F172A"/>
          <w:sz w:val="36"/>
        </w:rPr>
        <w:t>Autoexplicação)</w:t>
      </w:r>
    </w:p>
    <w:p>
      <w:pPr>
        <w:autoSpaceDN w:val="0"/>
        <w:autoSpaceDE w:val="0"/>
        <w:widowControl/>
        <w:spacing w:line="240" w:lineRule="auto" w:before="504" w:after="0"/>
        <w:ind w:left="22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2.1. Formas de Interação do Usuário</w:t>
      </w:r>
    </w:p>
    <w:p>
      <w:pPr>
        <w:autoSpaceDN w:val="0"/>
        <w:autoSpaceDE w:val="0"/>
        <w:widowControl/>
        <w:spacing w:line="274" w:lineRule="auto" w:before="288" w:after="0"/>
        <w:ind w:left="22" w:right="576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A interface oferece múltiplas formas de interação adaptadas ao perfil do estudante e ao </w:t>
      </w:r>
      <w:r>
        <w:rPr>
          <w:rFonts w:ascii="Roboto" w:hAnsi="Roboto" w:eastAsia="Roboto"/>
          <w:b w:val="0"/>
          <w:i w:val="0"/>
          <w:color w:val="334155"/>
          <w:sz w:val="24"/>
        </w:rPr>
        <w:t>dispositivo utilizado:</w:t>
      </w:r>
    </w:p>
    <w:p>
      <w:pPr>
        <w:autoSpaceDN w:val="0"/>
        <w:tabs>
          <w:tab w:pos="622" w:val="left"/>
        </w:tabs>
        <w:autoSpaceDE w:val="0"/>
        <w:widowControl/>
        <w:spacing w:line="240" w:lineRule="auto" w:before="318" w:after="0"/>
        <w:ind w:left="3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Barra de Entrada de Código e Mensagens (Prompt Bar):</w:t>
      </w:r>
    </w:p>
    <w:p>
      <w:pPr>
        <w:autoSpaceDN w:val="0"/>
        <w:tabs>
          <w:tab w:pos="1222" w:val="left"/>
          <w:tab w:pos="1266" w:val="left"/>
        </w:tabs>
        <w:autoSpaceDE w:val="0"/>
        <w:widowControl/>
        <w:spacing w:line="240" w:lineRule="auto" w:before="78" w:after="0"/>
        <w:ind w:left="946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Campo de texto expansível com suporte a mnemônicos e quebras de linha via </w:t>
      </w:r>
      <w:r>
        <w:tab/>
      </w:r>
      <w:r>
        <w:tab/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Shift + Enter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tabs>
          <w:tab w:pos="1222" w:val="left"/>
        </w:tabs>
        <w:autoSpaceDE w:val="0"/>
        <w:widowControl/>
        <w:spacing w:line="240" w:lineRule="auto" w:before="78" w:after="0"/>
        <w:ind w:left="946" w:right="1296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Envio rápido de mensagens acionado por clique no botão de envio ou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pressionando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Enter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sectPr>
          <w:pgSz w:w="11899" w:h="16838"/>
          <w:pgMar w:top="596" w:right="930" w:bottom="508" w:left="9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3331"/>
        <w:gridCol w:w="3331"/>
        <w:gridCol w:w="3331"/>
      </w:tblGrid>
      <w:tr>
        <w:trPr>
          <w:trHeight w:hRule="exact" w:val="31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>Painel Lateral de Navegação:</w:t>
            </w:r>
          </w:p>
        </w:tc>
      </w:tr>
      <w:tr>
        <w:trPr>
          <w:trHeight w:hRule="exact" w:val="44"/>
        </w:trPr>
        <w:tc>
          <w:tcPr>
            <w:tcW w:type="dxa" w:w="3331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>Botão de destaque "Novo Chat" (</w:t>
            </w:r>
            <w:r>
              <w:rPr>
                <w:shd w:val="clear" w:color="auto" w:fill="f5f7fa"/>
                <w:w w:val="102.00000762939455"/>
                <w:rFonts w:ascii="Inconsolata" w:hAnsi="Inconsolata" w:eastAsia="Inconsolata"/>
                <w:b w:val="0"/>
                <w:i w:val="0"/>
                <w:color w:val="334155"/>
                <w:sz w:val="20"/>
              </w:rPr>
              <w:t xml:space="preserve"> +</w:t>
            </w:r>
            <w:r>
              <w:rPr>
                <w:shd w:val="clear" w:color="auto" w:fill="f5f7fa"/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 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>), permitindo criar uma nova sessão de estudos</w:t>
            </w:r>
          </w:p>
        </w:tc>
      </w:tr>
      <w:tr>
        <w:trPr>
          <w:trHeight w:hRule="exact" w:val="32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6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4" w:after="0"/>
        <w:ind w:left="1200" w:right="0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>a qualquer momento.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Histórico dinâmico de conversas anteriores com ícone contextual e opções de </w:t>
      </w:r>
      <w:r>
        <w:rPr>
          <w:rFonts w:ascii="Roboto" w:hAnsi="Roboto" w:eastAsia="Roboto"/>
          <w:b w:val="0"/>
          <w:i w:val="0"/>
          <w:color w:val="334155"/>
          <w:sz w:val="24"/>
        </w:rPr>
        <w:t>gestão por item.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Modais Interativos de Contexto: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Modais desacoplados e centralizados para </w:t>
      </w:r>
      <w:r>
        <w:rPr>
          <w:rFonts w:ascii="Roboto" w:hAnsi="Roboto" w:eastAsia="Roboto"/>
          <w:b/>
          <w:i w:val="0"/>
          <w:color w:val="334155"/>
          <w:sz w:val="24"/>
        </w:rPr>
        <w:t>Renomear Chat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rFonts w:ascii="Roboto" w:hAnsi="Roboto" w:eastAsia="Roboto"/>
          <w:b/>
          <w:i w:val="0"/>
          <w:color w:val="334155"/>
          <w:sz w:val="24"/>
        </w:rPr>
        <w:t>Excluir Chat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rFonts w:ascii="Roboto" w:hAnsi="Roboto" w:eastAsia="Roboto"/>
          <w:b/>
          <w:i w:val="0"/>
          <w:color w:val="334155"/>
          <w:sz w:val="24"/>
        </w:rPr>
        <w:t>Configurações do Usuário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e </w:t>
      </w:r>
      <w:r>
        <w:rPr>
          <w:rFonts w:ascii="Roboto" w:hAnsi="Roboto" w:eastAsia="Roboto"/>
          <w:b/>
          <w:i w:val="0"/>
          <w:color w:val="334155"/>
          <w:sz w:val="24"/>
        </w:rPr>
        <w:t>Seleção de Turma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Cada modal possui botões de confirmação ("Salvar", "Excluir") e cancelamento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("Cancelar"), além de fechar com a tecla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Escape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ou clique na área externa.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2.2. Affordance (Elementos Autoexplicativos)</w:t>
      </w:r>
    </w:p>
    <w:p>
      <w:pPr>
        <w:autoSpaceDN w:val="0"/>
        <w:autoSpaceDE w:val="0"/>
        <w:widowControl/>
        <w:spacing w:line="274" w:lineRule="auto" w:before="288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Os elementos da interface sugerem intuitivamente as ações possíveis (affordances visuais) </w:t>
      </w:r>
      <w:r>
        <w:rPr>
          <w:rFonts w:ascii="Roboto" w:hAnsi="Roboto" w:eastAsia="Roboto"/>
          <w:b w:val="0"/>
          <w:i w:val="0"/>
          <w:color w:val="334155"/>
          <w:sz w:val="24"/>
        </w:rPr>
        <w:t>através de indicativos claros: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18" w:after="0"/>
        <w:ind w:left="344" w:right="11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Indicadores Clicáveis: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Botões possuem sombras sutis, cantos arredondados,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transições de cor no estado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:hover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e alteração do cursor para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pointer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Feedbacks de Estado de Foco: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Campos de texto exibem um anel de destaque luminoso </w:t>
      </w:r>
      <w:r>
        <w:rPr>
          <w:rFonts w:ascii="Roboto" w:hAnsi="Roboto" w:eastAsia="Roboto"/>
          <w:b w:val="0"/>
          <w:i w:val="0"/>
          <w:color w:val="334155"/>
          <w:sz w:val="24"/>
        </w:rPr>
        <w:t>ao receberem foco, indicando prontidão para digitação.</w:t>
      </w:r>
    </w:p>
    <w:p>
      <w:pPr>
        <w:autoSpaceDN w:val="0"/>
        <w:tabs>
          <w:tab w:pos="584" w:val="left"/>
          <w:tab w:pos="600" w:val="left"/>
        </w:tabs>
        <w:autoSpaceDE w:val="0"/>
        <w:widowControl/>
        <w:spacing w:line="240" w:lineRule="auto" w:before="78" w:after="0"/>
        <w:ind w:left="34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/>
          <w:i w:val="0"/>
          <w:color w:val="334155"/>
          <w:sz w:val="24"/>
        </w:rPr>
        <w:t>Placeholders Orientadores: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O campo principal de entrada contém o texto explicativo: </w:t>
      </w:r>
      <w:r>
        <w:tab/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"Digite sua dúvida ou cole seu código C++/Python aqui...", informando imediatamente </w:t>
      </w:r>
      <w:r>
        <w:tab/>
      </w:r>
      <w:r>
        <w:rPr>
          <w:rFonts w:ascii="Roboto" w:hAnsi="Roboto" w:eastAsia="Roboto"/>
          <w:b w:val="0"/>
          <w:i w:val="0"/>
          <w:color w:val="334155"/>
          <w:sz w:val="24"/>
        </w:rPr>
        <w:t>ao usuário o tipo de conteúdo esperado.</w:t>
      </w:r>
    </w:p>
    <w:p>
      <w:pPr>
        <w:autoSpaceDN w:val="0"/>
        <w:tabs>
          <w:tab w:pos="584" w:val="left"/>
          <w:tab w:pos="600" w:val="left"/>
        </w:tabs>
        <w:autoSpaceDE w:val="0"/>
        <w:widowControl/>
        <w:spacing w:line="240" w:lineRule="auto" w:before="78" w:after="0"/>
        <w:ind w:left="34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/>
          <w:i w:val="0"/>
          <w:color w:val="334155"/>
          <w:sz w:val="24"/>
        </w:rPr>
        <w:t>Badges e Rótulos Informativos: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Indicadores visuais na interface sinalizam a turma </w:t>
      </w:r>
      <w:r>
        <w:tab/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selecionada (ex: Algoritmos e Estruturas de Dados I) e o papel do usuário (Aluno, </w:t>
      </w:r>
      <w:r>
        <w:tab/>
      </w:r>
      <w:r>
        <w:rPr>
          <w:rFonts w:ascii="Roboto" w:hAnsi="Roboto" w:eastAsia="Roboto"/>
          <w:b w:val="0"/>
          <w:i w:val="0"/>
          <w:color w:val="334155"/>
          <w:sz w:val="24"/>
        </w:rPr>
        <w:t>Professor ou Administrador).</w:t>
      </w:r>
    </w:p>
    <w:p>
      <w:pPr>
        <w:autoSpaceDN w:val="0"/>
        <w:autoSpaceDE w:val="0"/>
        <w:widowControl/>
        <w:spacing w:line="240" w:lineRule="auto" w:before="838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>3. Aplicação dos Princípios de Design Visual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3.1. Hierarquia Visual e Escaneabilidade</w:t>
      </w:r>
    </w:p>
    <w:p>
      <w:pPr>
        <w:autoSpaceDN w:val="0"/>
        <w:tabs>
          <w:tab w:pos="600" w:val="left"/>
          <w:tab w:pos="644" w:val="left"/>
        </w:tabs>
        <w:autoSpaceDE w:val="0"/>
        <w:widowControl/>
        <w:spacing w:line="240" w:lineRule="auto" w:before="290" w:after="0"/>
        <w:ind w:left="34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Tipografia Curada: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Utilização de fontes modernas sem serifa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Inter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-apple-system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tab/>
      </w:r>
      <w:r>
        <w:tab/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BlinkMacSystemFont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), que proporcionam excelente leitura na tela.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Contraste de Pesos e Tamanhos: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Títulos de seções possuem pesos em negrito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(600/700) e escala proporcional, diferenciando o cabeçalho da assistente, o corpo da </w:t>
      </w:r>
      <w:r>
        <w:rPr>
          <w:rFonts w:ascii="Roboto" w:hAnsi="Roboto" w:eastAsia="Roboto"/>
          <w:b w:val="0"/>
          <w:i w:val="0"/>
          <w:color w:val="334155"/>
          <w:sz w:val="24"/>
        </w:rPr>
        <w:t>explicação e o bloco de código.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Destaque Sintático para Código: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Respostas contendo blocos de código utilizam fontes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monoespaçadas (Fira Code, JetBrains Mono, Consolas) com fundo escuro e coloração </w:t>
      </w:r>
      <w:r>
        <w:rPr>
          <w:rFonts w:ascii="Roboto" w:hAnsi="Roboto" w:eastAsia="Roboto"/>
          <w:b w:val="0"/>
          <w:i w:val="0"/>
          <w:color w:val="334155"/>
          <w:sz w:val="24"/>
        </w:rPr>
        <w:t>sintática, separando o texto explicativo do código executável.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3.2. Paleta de Cores e Ergonomia Cognitiva</w:t>
      </w:r>
    </w:p>
    <w:p>
      <w:pPr>
        <w:sectPr>
          <w:pgSz w:w="11899" w:h="16838"/>
          <w:pgMar w:top="444" w:right="930" w:bottom="462" w:left="9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tabs>
          <w:tab w:pos="600" w:val="left"/>
        </w:tabs>
        <w:autoSpaceDE w:val="0"/>
        <w:widowControl/>
        <w:spacing w:line="240" w:lineRule="auto" w:before="0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Dark Mode Ergocromático: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 paleta de cores foi desenvolvida em tons escuros e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profundos (background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#0f172a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superfícies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#1e293b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), reduzindo a fadiga ocular durante </w:t>
      </w:r>
      <w:r>
        <w:rPr>
          <w:rFonts w:ascii="Roboto" w:hAnsi="Roboto" w:eastAsia="Roboto"/>
          <w:b w:val="0"/>
          <w:i w:val="0"/>
          <w:color w:val="334155"/>
          <w:sz w:val="24"/>
        </w:rPr>
        <w:t>longas sessões de estudo noturno ou programação.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Cores Semânticas: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Azul / Ciano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#38bdf8</w:t>
      </w:r>
      <w:r>
        <w:rPr>
          <w:rFonts w:ascii="Roboto" w:hAnsi="Roboto" w:eastAsia="Roboto"/>
          <w:b/>
          <w:i w:val="0"/>
          <w:color w:val="334155"/>
          <w:sz w:val="24"/>
        </w:rPr>
        <w:t xml:space="preserve"> /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#0284c7</w:t>
      </w:r>
      <w:r>
        <w:rPr>
          <w:shd w:val="clear" w:color="auto" w:fill="f5f7fa"/>
          <w:rFonts w:ascii="Roboto" w:hAnsi="Roboto" w:eastAsia="Roboto"/>
          <w:b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/>
          <w:i w:val="0"/>
          <w:color w:val="334155"/>
          <w:sz w:val="24"/>
        </w:rPr>
        <w:t>):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Usado para ações primárias, botões ativos e </w:t>
      </w:r>
      <w:r>
        <w:rPr>
          <w:rFonts w:ascii="Roboto" w:hAnsi="Roboto" w:eastAsia="Roboto"/>
          <w:b w:val="0"/>
          <w:i w:val="0"/>
          <w:color w:val="334155"/>
          <w:sz w:val="24"/>
        </w:rPr>
        <w:t>elementos de tutoria.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Verde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#22c55e</w:t>
      </w:r>
      <w:r>
        <w:rPr>
          <w:shd w:val="clear" w:color="auto" w:fill="f5f7fa"/>
          <w:rFonts w:ascii="Roboto" w:hAnsi="Roboto" w:eastAsia="Roboto"/>
          <w:b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/>
          <w:i w:val="0"/>
          <w:color w:val="334155"/>
          <w:sz w:val="24"/>
        </w:rPr>
        <w:t>):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Confirmação de ações bem-sucedidas e validações.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Vermelho / Coral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#ef4444</w:t>
      </w:r>
      <w:r>
        <w:rPr>
          <w:shd w:val="clear" w:color="auto" w:fill="f5f7fa"/>
          <w:rFonts w:ascii="Roboto" w:hAnsi="Roboto" w:eastAsia="Roboto"/>
          <w:b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/>
          <w:i w:val="0"/>
          <w:color w:val="334155"/>
          <w:sz w:val="24"/>
        </w:rPr>
        <w:t>):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Ações destrutivas (exclusão de chat) e destaques de </w:t>
      </w:r>
      <w:r>
        <w:rPr>
          <w:rFonts w:ascii="Roboto" w:hAnsi="Roboto" w:eastAsia="Roboto"/>
          <w:b w:val="0"/>
          <w:i w:val="0"/>
          <w:color w:val="334155"/>
          <w:sz w:val="24"/>
        </w:rPr>
        <w:t>erros.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80" w:after="0"/>
        <w:ind w:left="92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Âmbar / Amarelo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#f59e0b</w:t>
      </w:r>
      <w:r>
        <w:rPr>
          <w:shd w:val="clear" w:color="auto" w:fill="f5f7fa"/>
          <w:rFonts w:ascii="Roboto" w:hAnsi="Roboto" w:eastAsia="Roboto"/>
          <w:b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/>
          <w:i w:val="0"/>
          <w:color w:val="334155"/>
          <w:sz w:val="24"/>
        </w:rPr>
        <w:t>):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Alertas didáticos, avisos de pré-requisitos e dicas de </w:t>
      </w:r>
      <w:r>
        <w:rPr>
          <w:rFonts w:ascii="Roboto" w:hAnsi="Roboto" w:eastAsia="Roboto"/>
          <w:b w:val="0"/>
          <w:i w:val="0"/>
          <w:color w:val="334155"/>
          <w:sz w:val="24"/>
        </w:rPr>
        <w:t>raciocínio.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3.3. Consistência Visual e Componentização</w:t>
      </w:r>
    </w:p>
    <w:p>
      <w:pPr>
        <w:autoSpaceDN w:val="0"/>
        <w:tabs>
          <w:tab w:pos="44" w:val="left"/>
        </w:tabs>
        <w:autoSpaceDE w:val="0"/>
        <w:widowControl/>
        <w:spacing w:line="286" w:lineRule="auto" w:before="288" w:after="0"/>
        <w:ind w:left="0" w:right="720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>Todas as telas do sistema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index.html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login.html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register.html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selecionar_turma.html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admin.html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) compartilham a mesma biblioteca de estilos em Vanilla CSS, garantindo </w:t>
      </w:r>
      <w:r>
        <w:rPr>
          <w:rFonts w:ascii="Roboto" w:hAnsi="Roboto" w:eastAsia="Roboto"/>
          <w:b w:val="0"/>
          <w:i w:val="0"/>
          <w:color w:val="334155"/>
          <w:sz w:val="24"/>
        </w:rPr>
        <w:t>padronização de espaçamentos, botões, inputs e modais.</w:t>
      </w:r>
    </w:p>
    <w:p>
      <w:pPr>
        <w:autoSpaceDN w:val="0"/>
        <w:autoSpaceDE w:val="0"/>
        <w:widowControl/>
        <w:spacing w:line="240" w:lineRule="auto" w:before="838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>4. Usabilidade e Experiência do Usuário (UX)</w:t>
      </w:r>
    </w:p>
    <w:p>
      <w:pPr>
        <w:autoSpaceDN w:val="0"/>
        <w:autoSpaceDE w:val="0"/>
        <w:widowControl/>
        <w:spacing w:line="240" w:lineRule="auto" w:before="50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4.1. Eficiência e Facilidade de Uso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90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Zero Carga de Aprendizado: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 metáfora de Chat UI é amplamente conhecida. O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estudante não precisa aprender a navegar por menud complexos para começar a tirar </w:t>
      </w:r>
      <w:r>
        <w:rPr>
          <w:rFonts w:ascii="Roboto" w:hAnsi="Roboto" w:eastAsia="Roboto"/>
          <w:b w:val="0"/>
          <w:i w:val="0"/>
          <w:color w:val="334155"/>
          <w:sz w:val="24"/>
        </w:rPr>
        <w:t>dúvidas.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Auto-Titulação Inteligente: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Ao iniciar uma nova conversa, o sistema analisa a primeira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dúvida enviada e gera automaticamente um título resumido para o chat no histórico </w:t>
      </w:r>
      <w:r>
        <w:rPr>
          <w:rFonts w:ascii="Roboto" w:hAnsi="Roboto" w:eastAsia="Roboto"/>
          <w:b w:val="0"/>
          <w:i w:val="0"/>
          <w:color w:val="334155"/>
          <w:sz w:val="24"/>
        </w:rPr>
        <w:t>lateral, eliminando a necessidade de nomear arquivos manualmente.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4.2. Prevenção e Tratamento de Erros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88" w:after="0"/>
        <w:ind w:left="344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Validação em Tempo Real nos Formulários: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As telas de login e cadastro exibem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feedback visual instantâneo nos campos de e-mail (borda verde/vermelha) e </w:t>
      </w:r>
      <w:r>
        <w:rPr>
          <w:rFonts w:ascii="Roboto" w:hAnsi="Roboto" w:eastAsia="Roboto"/>
          <w:b w:val="0"/>
          <w:i w:val="0"/>
          <w:color w:val="334155"/>
          <w:sz w:val="24"/>
        </w:rPr>
        <w:t>confirmação de senha.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Modais de Confirmação Preventivos: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 exclusão de conversas exige confirmação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explícita em modal customizado, prevenindo perda acidental de dados por cliques </w:t>
      </w:r>
      <w:r>
        <w:rPr>
          <w:rFonts w:ascii="Roboto" w:hAnsi="Roboto" w:eastAsia="Roboto"/>
          <w:b w:val="0"/>
          <w:i w:val="0"/>
          <w:color w:val="334155"/>
          <w:sz w:val="24"/>
        </w:rPr>
        <w:t>involuntários.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Feedbacks Dinâmicos de Carregamento: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Durante o processamento da resposta pela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tutora IARA, a interface desabilita a barra de envio e exibe um indicador animado, </w:t>
      </w:r>
      <w:r>
        <w:rPr>
          <w:rFonts w:ascii="Roboto" w:hAnsi="Roboto" w:eastAsia="Roboto"/>
          <w:b w:val="0"/>
          <w:i w:val="0"/>
          <w:color w:val="334155"/>
          <w:sz w:val="24"/>
        </w:rPr>
        <w:t>impedindo requisições duplicadas.</w:t>
      </w:r>
    </w:p>
    <w:p>
      <w:pPr>
        <w:sectPr>
          <w:pgSz w:w="11899" w:h="16838"/>
          <w:pgMar w:top="444" w:right="930" w:bottom="658" w:left="9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4.3. Ausência de Frustração e Controle do Usuário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88" w:after="0"/>
        <w:ind w:left="34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Cancelamento de Resposta: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Botão de cancelamento visível que permite ao usuário </w:t>
      </w:r>
      <w:r>
        <w:rPr>
          <w:rFonts w:ascii="Roboto" w:hAnsi="Roboto" w:eastAsia="Roboto"/>
          <w:b w:val="0"/>
          <w:i w:val="0"/>
          <w:color w:val="334155"/>
          <w:sz w:val="24"/>
        </w:rPr>
        <w:t>interromper a geração de uma resposta a qualquer momento.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Preservação de Contexto: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A navegação entre conversas anteriores não recarrega a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página inteira; a atualização ocorre de forma fluida via manipulação dinâmica do DOM </w:t>
      </w:r>
      <w:r>
        <w:rPr>
          <w:rFonts w:ascii="Roboto" w:hAnsi="Roboto" w:eastAsia="Roboto"/>
          <w:b w:val="0"/>
          <w:i w:val="0"/>
          <w:color w:val="334155"/>
          <w:sz w:val="24"/>
        </w:rPr>
        <w:t>em JavaScript.</w:t>
      </w:r>
    </w:p>
    <w:p>
      <w:pPr>
        <w:autoSpaceDN w:val="0"/>
        <w:autoSpaceDE w:val="0"/>
        <w:widowControl/>
        <w:spacing w:line="240" w:lineRule="auto" w:before="838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>5. Inclusão e Princípios de Acessibilidade (A11y - WCAG 2.1)</w:t>
      </w:r>
    </w:p>
    <w:p>
      <w:pPr>
        <w:autoSpaceDN w:val="0"/>
        <w:autoSpaceDE w:val="0"/>
        <w:widowControl/>
        <w:spacing w:line="274" w:lineRule="auto" w:before="470" w:after="0"/>
        <w:ind w:left="0" w:right="1296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O desenvolvimento da interface IARA considerou a acessibilidade como requisito </w:t>
      </w:r>
      <w:r>
        <w:rPr>
          <w:rFonts w:ascii="Roboto" w:hAnsi="Roboto" w:eastAsia="Roboto"/>
          <w:b w:val="0"/>
          <w:i w:val="0"/>
          <w:color w:val="334155"/>
          <w:sz w:val="24"/>
        </w:rPr>
        <w:t>fundamental de engenharia:</w:t>
      </w:r>
    </w:p>
    <w:p>
      <w:pPr>
        <w:autoSpaceDN w:val="0"/>
        <w:autoSpaceDE w:val="0"/>
        <w:widowControl/>
        <w:spacing w:line="240" w:lineRule="auto" w:before="412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5.1. Navegação Total por Teclado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90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Ordem Lógica de Tabulação: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Todos os elementos interativos (botões, links, campos de </w:t>
      </w:r>
      <w:r>
        <w:rPr>
          <w:rFonts w:ascii="Roboto" w:hAnsi="Roboto" w:eastAsia="Roboto"/>
          <w:b w:val="0"/>
          <w:i w:val="0"/>
          <w:color w:val="334155"/>
          <w:sz w:val="24"/>
        </w:rPr>
        <w:t>entrada e cards de histórico) seguem a ordem natural de leitura visual.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Indicadores Visuais de Foco: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Nenhum elemento interativo possui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outline: none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sem um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substituto visual equivalente. O foco via teclado é sinalizado com um anel de alto </w:t>
      </w:r>
      <w:r>
        <w:rPr>
          <w:rFonts w:ascii="Roboto" w:hAnsi="Roboto" w:eastAsia="Roboto"/>
          <w:b w:val="0"/>
          <w:i w:val="0"/>
          <w:color w:val="334155"/>
          <w:sz w:val="24"/>
        </w:rPr>
        <w:t>contraste.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Atalhos de Teclado Universais: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Modais podem ser fechados pressionando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Escape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formulários submetidos via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Enter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e linhas quebradas no chat com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Shift + Enter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5.2. HTML5 Semântico e Suporte a Leitores de Tela</w:t>
      </w:r>
    </w:p>
    <w:p>
      <w:pPr>
        <w:autoSpaceDN w:val="0"/>
        <w:tabs>
          <w:tab w:pos="600" w:val="left"/>
          <w:tab w:pos="644" w:val="left"/>
        </w:tabs>
        <w:autoSpaceDE w:val="0"/>
        <w:widowControl/>
        <w:spacing w:line="240" w:lineRule="auto" w:before="288" w:after="0"/>
        <w:ind w:left="34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Estruturação Semântica: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Uso das tags semânticas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&lt;header&gt;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&lt;nav&gt;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&lt;main&gt;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&lt;aside&gt;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tab/>
      </w:r>
      <w:r>
        <w:tab/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&lt;section&gt;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&lt;footer&gt;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e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&lt;article&gt;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para estruturar as regiões da página.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334155"/>
          <w:sz w:val="24"/>
        </w:rPr>
        <w:t>Atributos ARIA:</w:t>
      </w:r>
    </w:p>
    <w:p>
      <w:pPr>
        <w:autoSpaceDN w:val="0"/>
        <w:tabs>
          <w:tab w:pos="1200" w:val="left"/>
          <w:tab w:pos="1244" w:val="left"/>
        </w:tabs>
        <w:autoSpaceDE w:val="0"/>
        <w:widowControl/>
        <w:spacing w:line="240" w:lineRule="auto" w:before="78" w:after="0"/>
        <w:ind w:left="92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Botões contendo apenas ícones possuem o atributo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aria-label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descritivo (ex: </w:t>
      </w:r>
      <w:r>
        <w:tab/>
      </w:r>
      <w:r>
        <w:tab/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aria-label="Criar novo chat"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aria-label="Abrir menu de opções"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).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78" w:after="0"/>
        <w:ind w:left="9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Modais utilizam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role="dialog"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e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aria-modal="true"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tabs>
          <w:tab w:pos="1200" w:val="left"/>
        </w:tabs>
        <w:autoSpaceDE w:val="0"/>
        <w:widowControl/>
        <w:spacing w:line="240" w:lineRule="auto" w:before="78" w:after="0"/>
        <w:ind w:left="924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>Imagens e ilustrações contêm textos alternativos 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alt="Ilustração da Tutora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IARA"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>).</w:t>
      </w:r>
    </w:p>
    <w:p>
      <w:pPr>
        <w:autoSpaceDN w:val="0"/>
        <w:autoSpaceDE w:val="0"/>
        <w:widowControl/>
        <w:spacing w:line="247" w:lineRule="auto" w:before="838" w:after="0"/>
        <w:ind w:left="0" w:right="864" w:firstLine="0"/>
        <w:jc w:val="left"/>
      </w:pPr>
      <w:r>
        <w:rPr>
          <w:rFonts w:ascii="Roboto" w:hAnsi="Roboto" w:eastAsia="Roboto"/>
          <w:b/>
          <w:i w:val="0"/>
          <w:color w:val="0F172A"/>
          <w:sz w:val="36"/>
        </w:rPr>
        <w:t>6. Arquitetura de Resiliência: Modo Demonstração Zero-</w:t>
      </w:r>
      <w:r>
        <w:rPr>
          <w:rFonts w:ascii="Roboto" w:hAnsi="Roboto" w:eastAsia="Roboto"/>
          <w:b/>
          <w:i w:val="0"/>
          <w:color w:val="0F172A"/>
          <w:sz w:val="36"/>
        </w:rPr>
        <w:t>Setup (Avaliação Sem Credenciais)</w:t>
      </w:r>
    </w:p>
    <w:p>
      <w:pPr>
        <w:autoSpaceDN w:val="0"/>
        <w:autoSpaceDE w:val="0"/>
        <w:widowControl/>
        <w:spacing w:line="274" w:lineRule="auto" w:before="470" w:after="0"/>
        <w:ind w:left="0" w:right="144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 xml:space="preserve">Para garantir que o professor consiga executar e testar o código funcional sem necessidade </w:t>
      </w:r>
      <w:r>
        <w:rPr>
          <w:rFonts w:ascii="Roboto" w:hAnsi="Roboto" w:eastAsia="Roboto"/>
          <w:b w:val="0"/>
          <w:i w:val="0"/>
          <w:color w:val="334155"/>
          <w:sz w:val="24"/>
        </w:rPr>
        <w:t>de obter chaves de API da OpenAI ou credenciais de banco de dados no MongoDB Atlas, a</w:t>
      </w:r>
    </w:p>
    <w:p>
      <w:pPr>
        <w:sectPr>
          <w:pgSz w:w="11899" w:h="16838"/>
          <w:pgMar w:top="430" w:right="930" w:bottom="538" w:left="9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7239000</wp:posOffset>
            </wp:positionV>
            <wp:extent cx="723900" cy="203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334155"/>
          <w:sz w:val="24"/>
        </w:rPr>
        <w:t>aplicação foi dotada de uma camada de resiliência e fallback automático.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6.1. Banco de Dados In-Memory (PyMongo Mock Store)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88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Quando o arquivo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.env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não está presente ou as variáveis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MONGODB_URI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/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API_KEY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não são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fornecidas, a aplicação ativa o modo </w:t>
      </w:r>
      <w:r>
        <w:rPr>
          <w:rFonts w:ascii="Roboto" w:hAnsi="Roboto" w:eastAsia="Roboto"/>
          <w:b/>
          <w:i w:val="0"/>
          <w:color w:val="334155"/>
          <w:sz w:val="24"/>
        </w:rPr>
        <w:t>In-Memory Store</w:t>
      </w:r>
      <w:r>
        <w:rPr>
          <w:rFonts w:ascii="Roboto" w:hAnsi="Roboto" w:eastAsia="Roboto"/>
          <w:b w:val="0"/>
          <w:i w:val="0"/>
          <w:color w:val="334155"/>
          <w:sz w:val="24"/>
        </w:rPr>
        <w:t>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11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Coleções pré-alimentadas disponibilizam imediatamente contas de teste </w:t>
      </w:r>
      <w:r>
        <w:rPr>
          <w:rFonts w:ascii="Roboto" w:hAnsi="Roboto" w:eastAsia="Roboto"/>
          <w:b w:val="0"/>
          <w:i w:val="0"/>
          <w:color w:val="334155"/>
          <w:sz w:val="24"/>
        </w:rPr>
        <w:t>(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 xml:space="preserve"> aluno@iara.com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professor@iara.com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,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adm@iara.com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 com senha </w:t>
      </w:r>
      <w:r>
        <w:rPr>
          <w:shd w:val="clear" w:color="auto" w:fill="f5f7fa"/>
          <w:w w:val="102.00000762939455"/>
          <w:rFonts w:ascii="Inconsolata" w:hAnsi="Inconsolata" w:eastAsia="Inconsolata"/>
          <w:b w:val="0"/>
          <w:i w:val="0"/>
          <w:color w:val="334155"/>
          <w:sz w:val="20"/>
        </w:rPr>
        <w:t>iara123</w:t>
      </w:r>
      <w:r>
        <w:rPr>
          <w:shd w:val="clear" w:color="auto" w:fill="f5f7fa"/>
          <w:rFonts w:ascii="Roboto" w:hAnsi="Roboto" w:eastAsia="Roboto"/>
          <w:b w:val="0"/>
          <w:i w:val="0"/>
          <w:color w:val="334155"/>
          <w:sz w:val="24"/>
        </w:rPr>
        <w:t xml:space="preserve">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) e turmas </w:t>
      </w:r>
      <w:r>
        <w:rPr>
          <w:rFonts w:ascii="Roboto" w:hAnsi="Roboto" w:eastAsia="Roboto"/>
          <w:b w:val="0"/>
          <w:i w:val="0"/>
          <w:color w:val="334155"/>
          <w:sz w:val="24"/>
        </w:rPr>
        <w:t>cadastradas.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78" w:after="0"/>
        <w:ind w:left="34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O avaliador pode cadastrar novas contas, criar novos chats, alterar turmas e renomear </w:t>
      </w:r>
      <w:r>
        <w:rPr>
          <w:rFonts w:ascii="Roboto" w:hAnsi="Roboto" w:eastAsia="Roboto"/>
          <w:b w:val="0"/>
          <w:i w:val="0"/>
          <w:color w:val="334155"/>
          <w:sz w:val="24"/>
        </w:rPr>
        <w:t>conversas normalmente durante a sessão.</w:t>
      </w:r>
    </w:p>
    <w:p>
      <w:pPr>
        <w:autoSpaceDN w:val="0"/>
        <w:autoSpaceDE w:val="0"/>
        <w:widowControl/>
        <w:spacing w:line="240" w:lineRule="auto" w:before="412" w:after="0"/>
        <w:ind w:left="0" w:right="0" w:firstLine="0"/>
        <w:jc w:val="left"/>
      </w:pPr>
      <w:r>
        <w:rPr>
          <w:rFonts w:ascii="Roboto" w:hAnsi="Roboto" w:eastAsia="Roboto"/>
          <w:b/>
          <w:i w:val="0"/>
          <w:color w:val="0F172A"/>
          <w:sz w:val="30"/>
        </w:rPr>
        <w:t>6.2. Motor Socrático RAG Local em Python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90" w:after="0"/>
        <w:ind w:left="344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Na ausência da chave OpenAI, realiza a busca RAG no acervo local de arquivos </w:t>
      </w:r>
      <w:r>
        <w:rPr>
          <w:rFonts w:ascii="Roboto" w:hAnsi="Roboto" w:eastAsia="Roboto"/>
          <w:b w:val="0"/>
          <w:i w:val="0"/>
          <w:color w:val="334155"/>
          <w:sz w:val="24"/>
        </w:rPr>
        <w:t>Markdown através de busca vetorial e textual.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80" w:after="0"/>
        <w:ind w:left="34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A resposta é montada pelo motor socrático local, que gera explicações didáticas em </w:t>
      </w:r>
      <w:r>
        <w:rPr>
          <w:rFonts w:ascii="Roboto" w:hAnsi="Roboto" w:eastAsia="Roboto"/>
          <w:b w:val="0"/>
          <w:i w:val="0"/>
          <w:color w:val="334155"/>
          <w:sz w:val="24"/>
        </w:rPr>
        <w:t xml:space="preserve">Markdown com blocos de código formatados em C++/Python, referências aos </w:t>
      </w:r>
      <w:r>
        <w:rPr>
          <w:rFonts w:ascii="Roboto" w:hAnsi="Roboto" w:eastAsia="Roboto"/>
          <w:b w:val="0"/>
          <w:i w:val="0"/>
          <w:color w:val="334155"/>
          <w:sz w:val="24"/>
        </w:rPr>
        <w:t>materiais da turma e perguntas orientadoras para o estudante.</w:t>
      </w:r>
    </w:p>
    <w:p>
      <w:pPr>
        <w:autoSpaceDN w:val="0"/>
        <w:autoSpaceDE w:val="0"/>
        <w:widowControl/>
        <w:spacing w:line="240" w:lineRule="auto" w:before="838" w:after="438"/>
        <w:ind w:left="0" w:right="0" w:firstLine="0"/>
        <w:jc w:val="center"/>
      </w:pPr>
      <w:r>
        <w:rPr>
          <w:rFonts w:ascii="Roboto" w:hAnsi="Roboto" w:eastAsia="Roboto"/>
          <w:b/>
          <w:i w:val="0"/>
          <w:color w:val="0F172A"/>
          <w:sz w:val="36"/>
        </w:rPr>
        <w:t>7. Quadro Resumo de Atendimento aos Critérios de Avaliação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96"/>
        <w:gridCol w:w="4996"/>
      </w:tblGrid>
      <w:tr>
        <w:trPr>
          <w:trHeight w:hRule="exact" w:val="676"/>
        </w:trPr>
        <w:tc>
          <w:tcPr>
            <w:tcW w:type="dxa" w:w="2806"/>
            <w:tcBorders>
              <w:start w:sz="5.600000000000023" w:val="single" w:color="#F5F7FA"/>
              <w:top w:sz="5.599999999999909" w:val="single" w:color="#F5F7FA"/>
              <w:end w:sz="6.400000000000091" w:val="single" w:color="#F5F7FA"/>
              <w:bottom w:sz="5.599999999999909" w:val="single" w:color="#F5F7FA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15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2B2B2B"/>
                <w:sz w:val="24"/>
              </w:rPr>
              <w:t>Critério de Avaliação</w:t>
            </w:r>
          </w:p>
        </w:tc>
        <w:tc>
          <w:tcPr>
            <w:tcW w:type="dxa" w:w="7154"/>
            <w:tcBorders>
              <w:start w:sz="6.400000000000091" w:val="single" w:color="#F5F7FA"/>
              <w:top w:sz="5.599999999999909" w:val="single" w:color="#F5F7FA"/>
              <w:end w:sz="5.600000000000364" w:val="single" w:color="#F5F7FA"/>
              <w:bottom w:sz="5.599999999999909" w:val="single" w:color="#F5F7FA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15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2B2B2B"/>
                <w:sz w:val="24"/>
              </w:rPr>
              <w:t>Aplicação Prática no Projeto IARA</w:t>
            </w:r>
          </w:p>
        </w:tc>
      </w:tr>
      <w:tr>
        <w:trPr>
          <w:trHeight w:hRule="exact" w:val="1034"/>
        </w:trPr>
        <w:tc>
          <w:tcPr>
            <w:tcW w:type="dxa" w:w="2806"/>
            <w:tcBorders>
              <w:start w:sz="5.600000000000023" w:val="single" w:color="#F5F7FA"/>
              <w:top w:sz="5.599999999999909" w:val="single" w:color="#F5F7FA"/>
              <w:end w:sz="6.400000000000091" w:val="single" w:color="#F5F7FA"/>
              <w:bottom w:sz="6.399999999999636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4" w:after="0"/>
              <w:ind w:left="150" w:right="72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 xml:space="preserve">Usabilidade e </w:t>
            </w:r>
            <w:r>
              <w:br/>
            </w: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>Experiência (UX)</w:t>
            </w:r>
          </w:p>
        </w:tc>
        <w:tc>
          <w:tcPr>
            <w:tcW w:type="dxa" w:w="7154"/>
            <w:tcBorders>
              <w:start w:sz="6.400000000000091" w:val="single" w:color="#F5F7FA"/>
              <w:top w:sz="5.599999999999909" w:val="single" w:color="#F5F7FA"/>
              <w:end w:sz="5.600000000000364" w:val="single" w:color="#F5F7FA"/>
              <w:bottom w:sz="6.399999999999636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4" w:after="0"/>
              <w:ind w:left="150" w:right="432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Interface estilo Chat UI sem ruídos, histórico com busca e 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>edição, auto-titulação de conversas e modais sem bloqueios.</w:t>
            </w:r>
          </w:p>
        </w:tc>
      </w:tr>
      <w:tr>
        <w:trPr>
          <w:trHeight w:hRule="exact" w:val="1036"/>
        </w:trPr>
        <w:tc>
          <w:tcPr>
            <w:tcW w:type="dxa" w:w="2806"/>
            <w:tcBorders>
              <w:start w:sz="5.600000000000023" w:val="single" w:color="#F5F7FA"/>
              <w:top w:sz="6.399999999999636" w:val="single" w:color="#F5F7FA"/>
              <w:end w:sz="6.400000000000091" w:val="single" w:color="#F5F7FA"/>
              <w:bottom w:sz="6.399999999999636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2" w:after="0"/>
              <w:ind w:left="150" w:right="14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 xml:space="preserve">Inclusão e </w:t>
            </w:r>
            <w:r>
              <w:br/>
            </w: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>Acessibilidade (A11y)</w:t>
            </w:r>
          </w:p>
        </w:tc>
        <w:tc>
          <w:tcPr>
            <w:tcW w:type="dxa" w:w="7154"/>
            <w:tcBorders>
              <w:start w:sz="6.400000000000091" w:val="single" w:color="#F5F7FA"/>
              <w:top w:sz="6.399999999999636" w:val="single" w:color="#F5F7FA"/>
              <w:end w:sz="5.600000000000364" w:val="single" w:color="#F5F7FA"/>
              <w:bottom w:sz="6.399999999999636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2" w:after="0"/>
              <w:ind w:left="150" w:right="576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Navegação 100% por teclado, foco visível, contraste WCAG 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AAA, HTML5 semântico e suporte a </w:t>
            </w:r>
            <w:r>
              <w:rPr>
                <w:w w:val="102.00000762939455"/>
                <w:rFonts w:ascii="Inconsolata" w:hAnsi="Inconsolata" w:eastAsia="Inconsolata"/>
                <w:b w:val="0"/>
                <w:i w:val="0"/>
                <w:color w:val="334155"/>
                <w:sz w:val="20"/>
              </w:rPr>
              <w:t>aria-label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 .</w:t>
            </w:r>
          </w:p>
        </w:tc>
      </w:tr>
      <w:tr>
        <w:trPr>
          <w:trHeight w:hRule="exact" w:val="1034"/>
        </w:trPr>
        <w:tc>
          <w:tcPr>
            <w:tcW w:type="dxa" w:w="2806"/>
            <w:tcBorders>
              <w:start w:sz="5.600000000000023" w:val="single" w:color="#F5F7FA"/>
              <w:top w:sz="6.399999999999636" w:val="single" w:color="#F5F7FA"/>
              <w:end w:sz="6.400000000000091" w:val="single" w:color="#F5F7FA"/>
              <w:bottom w:sz="5.600000000000364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2" w:after="0"/>
              <w:ind w:left="15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>Comunicação Visual</w:t>
            </w:r>
          </w:p>
        </w:tc>
        <w:tc>
          <w:tcPr>
            <w:tcW w:type="dxa" w:w="7154"/>
            <w:tcBorders>
              <w:start w:sz="6.400000000000091" w:val="single" w:color="#F5F7FA"/>
              <w:top w:sz="6.399999999999636" w:val="single" w:color="#F5F7FA"/>
              <w:end w:sz="5.600000000000364" w:val="single" w:color="#F5F7FA"/>
              <w:bottom w:sz="5.600000000000364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2" w:after="0"/>
              <w:ind w:left="150" w:right="432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Hierarquia tipográfica clara, cores semânticas curadas, realce 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>sintático de código e estados de carregamento explícitos.</w:t>
            </w:r>
          </w:p>
        </w:tc>
      </w:tr>
      <w:tr>
        <w:trPr>
          <w:trHeight w:hRule="exact" w:val="1036"/>
        </w:trPr>
        <w:tc>
          <w:tcPr>
            <w:tcW w:type="dxa" w:w="2806"/>
            <w:tcBorders>
              <w:start w:sz="5.600000000000023" w:val="single" w:color="#F5F7FA"/>
              <w:top w:sz="5.600000000000364" w:val="single" w:color="#F5F7FA"/>
              <w:end w:sz="6.400000000000091" w:val="single" w:color="#F5F7FA"/>
              <w:bottom w:sz="5.600000000000364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2" w:after="0"/>
              <w:ind w:left="150" w:right="1008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 xml:space="preserve">Originalidade e </w:t>
            </w: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>Criatividade</w:t>
            </w:r>
          </w:p>
        </w:tc>
        <w:tc>
          <w:tcPr>
            <w:tcW w:type="dxa" w:w="7154"/>
            <w:tcBorders>
              <w:start w:sz="6.400000000000091" w:val="single" w:color="#F5F7FA"/>
              <w:top w:sz="5.600000000000364" w:val="single" w:color="#F5F7FA"/>
              <w:end w:sz="5.600000000000364" w:val="single" w:color="#F5F7FA"/>
              <w:bottom w:sz="5.600000000000364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2" w:after="0"/>
              <w:ind w:left="150" w:right="86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Tutoria socrática baseada em PBL, layout ergocromático 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>moderno e personalização de turmas.</w:t>
            </w:r>
          </w:p>
        </w:tc>
      </w:tr>
      <w:tr>
        <w:trPr>
          <w:trHeight w:hRule="exact" w:val="1014"/>
        </w:trPr>
        <w:tc>
          <w:tcPr>
            <w:tcW w:type="dxa" w:w="2806"/>
            <w:tcBorders>
              <w:start w:sz="5.600000000000023" w:val="single" w:color="#F5F7FA"/>
              <w:top w:sz="5.600000000000364" w:val="single" w:color="#F5F7FA"/>
              <w:end w:sz="6.400000000000091" w:val="single" w:color="#F5F7FA"/>
              <w:bottom w:sz="6.399999999999636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4" w:after="0"/>
              <w:ind w:left="144" w:right="1008" w:firstLine="0"/>
              <w:jc w:val="center"/>
            </w:pP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 xml:space="preserve">Execução Sem </w:t>
            </w:r>
            <w:r>
              <w:rPr>
                <w:rFonts w:ascii="Roboto" w:hAnsi="Roboto" w:eastAsia="Roboto"/>
                <w:b/>
                <w:i w:val="0"/>
                <w:color w:val="334155"/>
                <w:sz w:val="24"/>
              </w:rPr>
              <w:t>Dependências</w:t>
            </w:r>
          </w:p>
        </w:tc>
        <w:tc>
          <w:tcPr>
            <w:tcW w:type="dxa" w:w="7154"/>
            <w:tcBorders>
              <w:start w:sz="6.400000000000091" w:val="single" w:color="#F5F7FA"/>
              <w:top w:sz="5.600000000000364" w:val="single" w:color="#F5F7FA"/>
              <w:end w:sz="5.600000000000364" w:val="single" w:color="#F5F7FA"/>
              <w:bottom w:sz="6.399999999999636" w:val="single" w:color="#F5F7F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4" w:after="0"/>
              <w:ind w:left="150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 xml:space="preserve">Inicialização imediata em modo demonstração zero-setup sem </w:t>
            </w:r>
            <w:r>
              <w:rPr>
                <w:rFonts w:ascii="Roboto" w:hAnsi="Roboto" w:eastAsia="Roboto"/>
                <w:b w:val="0"/>
                <w:i w:val="0"/>
                <w:color w:val="334155"/>
                <w:sz w:val="24"/>
              </w:rPr>
              <w:t>exigir chaves da OpenAI ou MongoDB Atlas.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444" w:right="930" w:bottom="920" w:left="9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