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Análise de Requisitos e Domínio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Objetivo Principal: Criar um sistema para gerenciar a produção e controle de qualidade de baterias, com foco em veículos elétricos.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Processos Chave a Serem Mapeados: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Cadastro de Especificações Técnicas (características das baterias)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Controle de Lotes de Produção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Gestão de Testes de Qualidade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Aprovação/Reprovação de Unidades: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Coleta de Informações na internet: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sobre fluxo de fabricação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sobre testes realizados</w:t>
        <w:br w:type="textWrapping"/>
        <w:t xml:space="preserve">sobre agrupamento em lotes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sobre relatórios necessários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Identificação de Entidades Principais: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Entidades Identificadas: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Bateria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Atributos: capacidade, tensão, tipo químico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Necessidade: rastreabilidade individual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Lote de Produção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Atributos: data, quantidade produzida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Necessidade: agrupamento lógico para controle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Teste de Qualidade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Atributos: tipos de teste, resultados, aprovação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Necessidade: conformidade com padrões técnicos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Detalhamento de Atributos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cada entidade, definimos: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Bateria: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Identificador único (Id_bateria)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Capacidade de armazenamento (kWh)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Tensão nominal (V)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Tipo químico (Li-ion, LFP, etc.)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Lote: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Código do lote (Id_lote)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de produção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Quantidade de unidades no lote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Teste de temperatura (passou/reprovou)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Teste de ciclagem (passou/reprovou)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Teste de descarga (passou/reprovou)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Status geral de aprovação (passou/reprovou)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Relacionamentos e Regras de Negócio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Fluxos Identificados: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Produção: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Um lote contém múltiplas baterias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Cada bateria pertence a um único lote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Cada bateria passa por vários testes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Testes são agrupados por lotes para eficiência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Aprovação depende de todos os testes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