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Зарайский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Кирилл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Вячеславович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01.01.2003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