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Демидов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Леонид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Системное 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