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B629" w14:textId="77777777" w:rsidR="006E4B70" w:rsidRDefault="006E4B70" w:rsidP="006E4B70">
      <w:pPr>
        <w:pStyle w:val="Heading1"/>
        <w:jc w:val="center"/>
      </w:pPr>
      <w:r>
        <w:t>Out-Sample Performance Check</w:t>
      </w:r>
    </w:p>
    <w:p w14:paraId="6BB94498" w14:textId="1A28EE50" w:rsidR="006E4B70" w:rsidRDefault="006E4B70" w:rsidP="006E4B70">
      <w:pPr>
        <w:pStyle w:val="Heading2"/>
        <w:jc w:val="center"/>
      </w:pPr>
      <w:r>
        <w:t>WC 2022</w:t>
      </w:r>
      <w:r>
        <w:t xml:space="preserve">: </w:t>
      </w:r>
      <w:r>
        <w:t>Group stages</w:t>
      </w:r>
      <w:r>
        <w:t xml:space="preserve"> – Phase of 16</w:t>
      </w:r>
    </w:p>
    <w:p w14:paraId="3D89653E" w14:textId="77777777" w:rsidR="006E4B70" w:rsidRDefault="006E4B70" w:rsidP="006E4B70"/>
    <w:p w14:paraId="0B289B74" w14:textId="169AE55D" w:rsidR="00C42105" w:rsidRPr="00C42105" w:rsidRDefault="00C42105" w:rsidP="006E4B70">
      <w:pPr>
        <w:rPr>
          <w:b/>
          <w:bCs/>
        </w:rPr>
      </w:pPr>
      <w:r w:rsidRPr="00C42105">
        <w:rPr>
          <w:b/>
          <w:bCs/>
        </w:rPr>
        <w:t>Introduction</w:t>
      </w:r>
    </w:p>
    <w:p w14:paraId="5AFDD643" w14:textId="574EF562" w:rsidR="006E4B70" w:rsidRDefault="006E4B70" w:rsidP="006E4B70">
      <w:r>
        <w:t>In this section, we considered to evaluate the predictive performance of some proposed models</w:t>
      </w:r>
      <w:r>
        <w:t>,</w:t>
      </w:r>
      <w:r>
        <w:t xml:space="preserve"> focused on the goals scored by both competing teams</w:t>
      </w:r>
      <w:r>
        <w:t>,</w:t>
      </w:r>
      <w:r>
        <w:t xml:space="preserve"> </w:t>
      </w:r>
      <w:r>
        <w:t>across matchdays held until the end of phase 16 of the tournament</w:t>
      </w:r>
      <w:r w:rsidR="007052F6">
        <w:t xml:space="preserve"> (n=56 matches)</w:t>
      </w:r>
      <w:r>
        <w:t>. The models which were compared among each other:</w:t>
      </w:r>
    </w:p>
    <w:p w14:paraId="5711A0E7" w14:textId="77777777" w:rsidR="006E4B70" w:rsidRDefault="006E4B70" w:rsidP="006E4B70"/>
    <w:p w14:paraId="5A56B294" w14:textId="77777777" w:rsidR="006E4B70" w:rsidRDefault="006E4B70" w:rsidP="006E4B70">
      <w:pPr>
        <w:pStyle w:val="ListParagraph"/>
        <w:numPr>
          <w:ilvl w:val="0"/>
          <w:numId w:val="1"/>
        </w:numPr>
      </w:pPr>
      <w:r>
        <w:t>Diagonal Inflated Bivariate Poisson</w:t>
      </w:r>
    </w:p>
    <w:p w14:paraId="4B0DD0D9" w14:textId="77777777" w:rsidR="006E4B70" w:rsidRDefault="006E4B70" w:rsidP="006E4B70">
      <w:pPr>
        <w:pStyle w:val="ListParagraph"/>
        <w:numPr>
          <w:ilvl w:val="0"/>
          <w:numId w:val="1"/>
        </w:numPr>
      </w:pPr>
      <w:r>
        <w:t>Bivariate Poisson</w:t>
      </w:r>
    </w:p>
    <w:p w14:paraId="6C12030D" w14:textId="77777777" w:rsidR="006E4B70" w:rsidRDefault="006E4B70" w:rsidP="006E4B70">
      <w:pPr>
        <w:pStyle w:val="ListParagraph"/>
        <w:numPr>
          <w:ilvl w:val="0"/>
          <w:numId w:val="1"/>
        </w:numPr>
      </w:pPr>
      <w:r>
        <w:t>Double Poisson</w:t>
      </w:r>
    </w:p>
    <w:p w14:paraId="0A0BEAFC" w14:textId="77777777" w:rsidR="006E4B70" w:rsidRDefault="006E4B70" w:rsidP="006E4B70"/>
    <w:p w14:paraId="06427056" w14:textId="035BB1C9" w:rsidR="006E4B70" w:rsidRDefault="006E4B70" w:rsidP="006E4B70">
      <w:r>
        <w:t xml:space="preserve">For the fitting of all these models, we used the same data for their training as well as the same priors apart from both formulations of bivariate Poisson (models 1 and 2) where we had the additional parameters of </w:t>
      </w:r>
      <w:r>
        <w:rPr>
          <w:lang w:val="el-GR"/>
        </w:rPr>
        <w:t>π</w:t>
      </w:r>
      <w:r w:rsidRPr="004078A7">
        <w:t xml:space="preserve">, </w:t>
      </w:r>
      <w:r>
        <w:rPr>
          <w:lang w:val="el-GR"/>
        </w:rPr>
        <w:t>ρ</w:t>
      </w:r>
      <w:r w:rsidRPr="004078A7">
        <w:t xml:space="preserve"> </w:t>
      </w:r>
      <w:r>
        <w:t xml:space="preserve">for model 1 and the one of parameter </w:t>
      </w:r>
      <w:r>
        <w:rPr>
          <w:lang w:val="el-GR"/>
        </w:rPr>
        <w:t>ρ</w:t>
      </w:r>
      <w:r w:rsidRPr="004078A7">
        <w:t xml:space="preserve"> </w:t>
      </w:r>
      <w:r>
        <w:t xml:space="preserve">for model 2, respectively. The dataset for the performance evaluation consists of </w:t>
      </w:r>
      <w:r w:rsidR="00F527F4">
        <w:t>56</w:t>
      </w:r>
      <w:r>
        <w:t xml:space="preserve"> matches.</w:t>
      </w:r>
    </w:p>
    <w:p w14:paraId="3DDC3BDB" w14:textId="77777777" w:rsidR="006E4B70" w:rsidRDefault="006E4B70" w:rsidP="006E4B70"/>
    <w:p w14:paraId="44F10545" w14:textId="77CA62F0" w:rsidR="006E4B70" w:rsidRPr="00213545" w:rsidRDefault="00C42105" w:rsidP="006E4B70">
      <w:pPr>
        <w:rPr>
          <w:b/>
          <w:bCs/>
        </w:rPr>
      </w:pPr>
      <w:r>
        <w:rPr>
          <w:b/>
          <w:bCs/>
        </w:rPr>
        <w:t xml:space="preserve">Predictive Performance </w:t>
      </w:r>
      <w:r w:rsidR="006E4B70" w:rsidRPr="00213545">
        <w:rPr>
          <w:b/>
          <w:bCs/>
        </w:rPr>
        <w:t>Results</w:t>
      </w:r>
    </w:p>
    <w:p w14:paraId="6D63F132" w14:textId="6C61414F" w:rsidR="006E4B70" w:rsidRDefault="006E4B70" w:rsidP="006E4B70">
      <w:r>
        <w:t xml:space="preserve">First, we calculated the Bayesian Information Criterion of LOOIC (Vehtari et al., 2017) across Models 1, 2, 3 in every matchday </w:t>
      </w:r>
      <w:r w:rsidR="004A5F2F">
        <w:t>of this period</w:t>
      </w:r>
      <w:r>
        <w:t xml:space="preserve">. Briefly, we report that the LOOIC of the Model 1 was the worst one in every match day while the best one was the third one but with much slight difference compared to the </w:t>
      </w:r>
      <w:r w:rsidR="004A5F2F">
        <w:t>model 2</w:t>
      </w:r>
      <w:r>
        <w:t>.</w:t>
      </w:r>
    </w:p>
    <w:p w14:paraId="6A0742B1" w14:textId="0245B83E" w:rsidR="00A732DC" w:rsidRDefault="006E4B70" w:rsidP="006E4B70">
      <w:r>
        <w:t>As a next step, we considered to compare our fitted models’ predictive performance, using the posterior predictive density of goal difference, with the observed goal differences.</w:t>
      </w:r>
      <w:r w:rsidRPr="00213545">
        <w:t xml:space="preserve"> </w:t>
      </w:r>
      <w:r>
        <w:t xml:space="preserve">More specifically, we proceeded to the comparison of our posterior predictive distributions (of fitted models) with the observed goal differences graphically through the posterior predictive checking (PPC) bar plots. These plots are useful since we can depict how close are the 95% posterior intervals of the predicted frequencies of goal differences to the corresponding observed ones. Also, the plots will include the metric of “Mean Absolute Error” calculated within Bayesian framework to quantify how close are our model-based predictions with the observed results across the group stage matches.  Based on Figure 1, we observe that </w:t>
      </w:r>
      <w:r w:rsidR="007F6CC3">
        <w:t xml:space="preserve">all fitted </w:t>
      </w:r>
      <w:r w:rsidR="009F171C">
        <w:t>models present similar performance in terms of both graphical representation and</w:t>
      </w:r>
      <w:r w:rsidR="00004DD8">
        <w:t xml:space="preserve"> the error metric of MAE</w:t>
      </w:r>
      <w:r>
        <w:t xml:space="preserve">. The </w:t>
      </w:r>
      <w:r>
        <w:lastRenderedPageBreak/>
        <w:t xml:space="preserve">similarity between predictive performances of </w:t>
      </w:r>
      <w:r w:rsidR="00E31171">
        <w:t>all fitted models</w:t>
      </w:r>
      <w:r>
        <w:t xml:space="preserve"> is obvious from the corresponding PPC graphs where </w:t>
      </w:r>
      <w:r w:rsidR="00E31171">
        <w:t>in all those ones,</w:t>
      </w:r>
      <w:r>
        <w:t xml:space="preserve"> the posterior medians (dark points) are close to the observed frequencies. An obvious difference between </w:t>
      </w:r>
      <w:r w:rsidR="006B418B">
        <w:t xml:space="preserve">fitted models is that the Model 1 predicts with inflation </w:t>
      </w:r>
      <w:r w:rsidR="000548B0">
        <w:t xml:space="preserve">the </w:t>
      </w:r>
      <w:r w:rsidR="00612C51">
        <w:t xml:space="preserve">draw match outcome (goal difference equal to zero) </w:t>
      </w:r>
      <w:r w:rsidR="000548B0">
        <w:t xml:space="preserve">compared to the Models 2 and 3 </w:t>
      </w:r>
      <w:r w:rsidR="00612C51">
        <w:t xml:space="preserve">which is reasonable </w:t>
      </w:r>
      <w:r w:rsidR="009B4D5B">
        <w:t xml:space="preserve">due to its own model formulation using the inflation parameter of p. </w:t>
      </w:r>
    </w:p>
    <w:p w14:paraId="7384167C" w14:textId="77777777" w:rsidR="006E4B70" w:rsidRDefault="006E4B70" w:rsidP="006E4B70"/>
    <w:p w14:paraId="2D5F87C9" w14:textId="793162E3" w:rsidR="006E4B70" w:rsidRDefault="00A732DC" w:rsidP="006E4B70">
      <w:r>
        <w:rPr>
          <w:noProof/>
        </w:rPr>
        <w:drawing>
          <wp:inline distT="0" distB="0" distL="0" distR="0" wp14:anchorId="76ABA868" wp14:editId="0777950C">
            <wp:extent cx="5943600" cy="325501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stretch>
                      <a:fillRect/>
                    </a:stretch>
                  </pic:blipFill>
                  <pic:spPr>
                    <a:xfrm>
                      <a:off x="0" y="0"/>
                      <a:ext cx="5943600" cy="3255010"/>
                    </a:xfrm>
                    <a:prstGeom prst="rect">
                      <a:avLst/>
                    </a:prstGeom>
                  </pic:spPr>
                </pic:pic>
              </a:graphicData>
            </a:graphic>
          </wp:inline>
        </w:drawing>
      </w:r>
    </w:p>
    <w:p w14:paraId="44E903DC" w14:textId="65BC9E7B" w:rsidR="006E4B70" w:rsidRDefault="006E4B70" w:rsidP="006E4B70">
      <w:r w:rsidRPr="00BA10D1">
        <w:rPr>
          <w:b/>
          <w:bCs/>
        </w:rPr>
        <w:t>Figure 1:</w:t>
      </w:r>
      <w:r>
        <w:t xml:space="preserve"> 95% Posterior intervals of predicted frequencies of goal differences;</w:t>
      </w:r>
      <w:r w:rsidR="0008351E">
        <w:t xml:space="preserve"> Blue dark points</w:t>
      </w:r>
      <w:r>
        <w:t xml:space="preserve"> and </w:t>
      </w:r>
      <w:r w:rsidR="00E31171">
        <w:t>blue bars</w:t>
      </w:r>
      <w:r>
        <w:t xml:space="preserve"> are the generated </w:t>
      </w:r>
      <w:r w:rsidR="00E31171">
        <w:t xml:space="preserve">posterior predictive distribution </w:t>
      </w:r>
      <w:r>
        <w:t xml:space="preserve">median and </w:t>
      </w:r>
      <w:r w:rsidR="00E31171">
        <w:t xml:space="preserve">the </w:t>
      </w:r>
      <w:r>
        <w:t>observed quantities</w:t>
      </w:r>
      <w:r w:rsidR="00E31171">
        <w:t xml:space="preserve"> (frequencies)</w:t>
      </w:r>
      <w:r>
        <w:t xml:space="preserve">, respectively. The MAE metric is the posterior mean of the </w:t>
      </w:r>
      <w:proofErr w:type="gramStart"/>
      <w:r w:rsidR="00E31171">
        <w:t>MAE;</w:t>
      </w:r>
      <w:proofErr w:type="gramEnd"/>
      <w:r>
        <w:t xml:space="preserve"> within brackets the posterior standard deviation of this metric.</w:t>
      </w:r>
    </w:p>
    <w:p w14:paraId="3A45E098" w14:textId="77777777" w:rsidR="006E4B70" w:rsidRDefault="006E4B70" w:rsidP="006E4B70"/>
    <w:p w14:paraId="204DA802" w14:textId="77777777" w:rsidR="00352D2A" w:rsidRDefault="006E4B70" w:rsidP="00352D2A">
      <w:r>
        <w:t xml:space="preserve">In general, the results from Figure 1 indicate that any model among them provides similar predictions with a little advantage in favor of </w:t>
      </w:r>
      <w:r w:rsidR="00906EF3">
        <w:t>both models 1 and 2</w:t>
      </w:r>
      <w:r>
        <w:t>.</w:t>
      </w:r>
      <w:r w:rsidR="00906EF3">
        <w:t xml:space="preserve"> For this reason, </w:t>
      </w:r>
      <w:r w:rsidR="00D70E24">
        <w:t>we</w:t>
      </w:r>
      <w:r>
        <w:t xml:space="preserve"> </w:t>
      </w:r>
      <w:r w:rsidR="00ED64C0">
        <w:t>proceeded to a</w:t>
      </w:r>
      <w:r w:rsidR="00E770EF">
        <w:t xml:space="preserve">n </w:t>
      </w:r>
      <w:r w:rsidR="00295DBD">
        <w:t>additional check</w:t>
      </w:r>
      <w:r w:rsidR="00E770EF">
        <w:t xml:space="preserve"> </w:t>
      </w:r>
      <w:r w:rsidR="00295DBD">
        <w:t>to</w:t>
      </w:r>
      <w:r w:rsidR="00E770EF">
        <w:t xml:space="preserve"> identify </w:t>
      </w:r>
      <w:r w:rsidR="007466B9">
        <w:t xml:space="preserve">potential predictive performance differences between of the Models 1-2. </w:t>
      </w:r>
      <w:r w:rsidR="00ED64C0">
        <w:t xml:space="preserve"> </w:t>
      </w:r>
    </w:p>
    <w:p w14:paraId="6804F698" w14:textId="77777777" w:rsidR="00352D2A" w:rsidRDefault="00352D2A" w:rsidP="00352D2A"/>
    <w:p w14:paraId="760A2D17" w14:textId="7960C303" w:rsidR="0067755B" w:rsidRDefault="00295DBD" w:rsidP="006E4B70">
      <w:r>
        <w:t>More specifically, t</w:t>
      </w:r>
      <w:r>
        <w:t xml:space="preserve">he mixed results of LOO and MAE led us to compare our models based on their predictive performance </w:t>
      </w:r>
      <w:r>
        <w:rPr>
          <w:b/>
          <w:bCs/>
        </w:rPr>
        <w:t xml:space="preserve">only </w:t>
      </w:r>
      <w:r>
        <w:t>on the final match outcome without considering the exact goal difference of the teams.</w:t>
      </w:r>
      <w:r w:rsidR="00352D2A">
        <w:t xml:space="preserve"> </w:t>
      </w:r>
      <w:r w:rsidR="00352D2A">
        <w:t>Since now our interest is focused on three possible outcomes (home team win, draw, away team win), our predictive performance results will be based on</w:t>
      </w:r>
      <w:r w:rsidR="00DA22A6">
        <w:t xml:space="preserve"> both the accuracy and</w:t>
      </w:r>
      <w:r w:rsidR="00352D2A">
        <w:t xml:space="preserve"> the multi-class log </w:t>
      </w:r>
      <w:r w:rsidR="00352D2A">
        <w:lastRenderedPageBreak/>
        <w:t xml:space="preserve">loss (multi-class cross entropy; for more details about this metric see </w:t>
      </w:r>
      <w:proofErr w:type="spellStart"/>
      <w:r w:rsidR="00352D2A">
        <w:rPr>
          <w:rFonts w:ascii="Arial" w:hAnsi="Arial" w:cs="Arial"/>
          <w:color w:val="222222"/>
          <w:sz w:val="20"/>
          <w:szCs w:val="20"/>
          <w:shd w:val="clear" w:color="auto" w:fill="FFFFFF"/>
        </w:rPr>
        <w:t>Grandini</w:t>
      </w:r>
      <w:proofErr w:type="spellEnd"/>
      <w:r w:rsidR="00352D2A">
        <w:rPr>
          <w:rFonts w:ascii="Arial" w:hAnsi="Arial" w:cs="Arial"/>
          <w:color w:val="222222"/>
          <w:sz w:val="20"/>
          <w:szCs w:val="20"/>
          <w:shd w:val="clear" w:color="auto" w:fill="FFFFFF"/>
        </w:rPr>
        <w:t xml:space="preserve">, M., et. al, 2020). </w:t>
      </w:r>
      <w:r w:rsidR="00352D2A">
        <w:t xml:space="preserve">The multi-class log loss metric is more appropriate for such classification tasks since our problem </w:t>
      </w:r>
      <w:r w:rsidR="00DA22A6">
        <w:t>are not yet perfectly balanced</w:t>
      </w:r>
      <w:r w:rsidR="00352D2A">
        <w:t xml:space="preserve"> and it is an evaluation metric quantifying how close are our probabilistic predictions with the observed final match outcomes.</w:t>
      </w:r>
      <w:r w:rsidR="00A260E5">
        <w:t xml:space="preserve"> However,</w:t>
      </w:r>
      <w:r w:rsidR="00352D2A">
        <w:t xml:space="preserve"> </w:t>
      </w:r>
      <w:r w:rsidR="00A260E5">
        <w:t>t</w:t>
      </w:r>
      <w:r w:rsidR="00352D2A">
        <w:t xml:space="preserve">he results of </w:t>
      </w:r>
      <w:r w:rsidR="00A260E5">
        <w:t>both metrics</w:t>
      </w:r>
      <w:r w:rsidR="00352D2A">
        <w:t xml:space="preserve"> are presented in Figure 2 with the corresponding PPC plot. In contrast with Figure 1, here the evaluation metric</w:t>
      </w:r>
      <w:r w:rsidR="00A260E5">
        <w:t>s</w:t>
      </w:r>
      <w:r w:rsidR="00352D2A">
        <w:t xml:space="preserve"> suggest that the simple form of Bivariate Poisson (i.e., Model 2) is slightly better from Model 1 in terms of predictive performance. </w:t>
      </w:r>
      <w:r>
        <w:t xml:space="preserve"> </w:t>
      </w:r>
    </w:p>
    <w:p w14:paraId="102632C5" w14:textId="2476599A" w:rsidR="009D7266" w:rsidRDefault="009D7266" w:rsidP="006E4B70"/>
    <w:p w14:paraId="6B583EF6" w14:textId="7EB0FFC3" w:rsidR="009D7266" w:rsidRDefault="00C42105" w:rsidP="006E4B70">
      <w:r>
        <w:rPr>
          <w:noProof/>
        </w:rPr>
        <w:drawing>
          <wp:inline distT="0" distB="0" distL="0" distR="0" wp14:anchorId="6750D273" wp14:editId="2847A28C">
            <wp:extent cx="5943600" cy="3229610"/>
            <wp:effectExtent l="0" t="0" r="0" b="889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5943600" cy="3229610"/>
                    </a:xfrm>
                    <a:prstGeom prst="rect">
                      <a:avLst/>
                    </a:prstGeom>
                  </pic:spPr>
                </pic:pic>
              </a:graphicData>
            </a:graphic>
          </wp:inline>
        </w:drawing>
      </w:r>
    </w:p>
    <w:p w14:paraId="1A0B2F6D" w14:textId="4118908F" w:rsidR="00C42105" w:rsidRDefault="00C42105" w:rsidP="00C42105">
      <w:r w:rsidRPr="00BA10D1">
        <w:rPr>
          <w:b/>
          <w:bCs/>
        </w:rPr>
        <w:t xml:space="preserve">Figure </w:t>
      </w:r>
      <w:r>
        <w:rPr>
          <w:b/>
          <w:bCs/>
        </w:rPr>
        <w:t>2</w:t>
      </w:r>
      <w:r w:rsidRPr="00BA10D1">
        <w:rPr>
          <w:b/>
          <w:bCs/>
        </w:rPr>
        <w:t>:</w:t>
      </w:r>
      <w:r>
        <w:t xml:space="preserve"> 95% Posterior intervals of predicted frequencies of goal differences</w:t>
      </w:r>
      <w:r>
        <w:t xml:space="preserve"> reflecting the three-way match outcome (win of home team, draw, win of the away team)</w:t>
      </w:r>
      <w:r>
        <w:t xml:space="preserve">; Blue dark points and blue bars are the generated posterior predictive distribution median and the observed quantities (frequencies), respectively. The </w:t>
      </w:r>
      <w:r>
        <w:t>accuracy</w:t>
      </w:r>
      <w:r>
        <w:t xml:space="preserve"> metric is the posterior mean of the MAE; within brackets the posterior standard deviation of this metric.</w:t>
      </w:r>
    </w:p>
    <w:p w14:paraId="21EB24FB" w14:textId="77777777" w:rsidR="0067755B" w:rsidRDefault="0067755B" w:rsidP="006E4B70"/>
    <w:p w14:paraId="78777688" w14:textId="2F8A9A74" w:rsidR="00C42105" w:rsidRPr="00C42105" w:rsidRDefault="00C42105" w:rsidP="006E4B70">
      <w:pPr>
        <w:rPr>
          <w:b/>
          <w:bCs/>
        </w:rPr>
      </w:pPr>
      <w:r>
        <w:rPr>
          <w:b/>
          <w:bCs/>
        </w:rPr>
        <w:t>Conclusion</w:t>
      </w:r>
    </w:p>
    <w:p w14:paraId="25C6009C" w14:textId="2C37EC78" w:rsidR="006E4B70" w:rsidRDefault="0067755B" w:rsidP="006E4B70">
      <w:r>
        <w:t xml:space="preserve">In conclusion, </w:t>
      </w:r>
      <w:r w:rsidR="006E4B70">
        <w:t xml:space="preserve">our predictions for the </w:t>
      </w:r>
      <w:r w:rsidR="00505F50">
        <w:t>remaining matches of the</w:t>
      </w:r>
      <w:r w:rsidR="006E4B70">
        <w:t xml:space="preserve"> World Cup will be </w:t>
      </w:r>
      <w:r>
        <w:rPr>
          <w:b/>
          <w:bCs/>
        </w:rPr>
        <w:t xml:space="preserve">now </w:t>
      </w:r>
      <w:r w:rsidR="006E4B70">
        <w:t xml:space="preserve">based on </w:t>
      </w:r>
      <w:r>
        <w:t>the Model 2 (Bivariate Poisson)</w:t>
      </w:r>
      <w:r w:rsidR="006E4B70">
        <w:t>.</w:t>
      </w:r>
      <w:r w:rsidR="00316D7B">
        <w:t xml:space="preserve"> The </w:t>
      </w:r>
      <w:r w:rsidR="00731239">
        <w:t>specific change in our modelling strategy is based on the following reasons:</w:t>
      </w:r>
    </w:p>
    <w:p w14:paraId="7950C3B2" w14:textId="1BD8F3AD" w:rsidR="00731239" w:rsidRDefault="00731239" w:rsidP="00731239">
      <w:pPr>
        <w:pStyle w:val="ListParagraph"/>
        <w:numPr>
          <w:ilvl w:val="0"/>
          <w:numId w:val="2"/>
        </w:numPr>
      </w:pPr>
      <w:r>
        <w:t xml:space="preserve">LOO-IC </w:t>
      </w:r>
      <w:r w:rsidR="00184839">
        <w:t>was much lower in Model 2 compared to the Model 1.</w:t>
      </w:r>
    </w:p>
    <w:p w14:paraId="6D08FC00" w14:textId="2D23C1CF" w:rsidR="00184839" w:rsidRDefault="00184839" w:rsidP="00731239">
      <w:pPr>
        <w:pStyle w:val="ListParagraph"/>
        <w:numPr>
          <w:ilvl w:val="0"/>
          <w:numId w:val="2"/>
        </w:numPr>
      </w:pPr>
      <w:r>
        <w:lastRenderedPageBreak/>
        <w:t xml:space="preserve">Due to the consistency of MAE and PPC results </w:t>
      </w:r>
      <w:r w:rsidR="00AC6876">
        <w:t>for the original scale of the goal difference response variable, both accuracy and multi-class log-loss indicated as better modelling option the second one.</w:t>
      </w:r>
    </w:p>
    <w:p w14:paraId="4FCEFCDD" w14:textId="1F885B14" w:rsidR="00AC6876" w:rsidRDefault="00AC6876" w:rsidP="00731239">
      <w:pPr>
        <w:pStyle w:val="ListParagraph"/>
        <w:numPr>
          <w:ilvl w:val="0"/>
          <w:numId w:val="2"/>
        </w:numPr>
      </w:pPr>
      <w:r>
        <w:t>The simple Bivariate Poisson is simpler in fitting than the Model 1 in terms of parameter space</w:t>
      </w:r>
      <w:r w:rsidR="008C40D1">
        <w:t xml:space="preserve"> complexity (Model 1 includes additional the parameter of inflation.</w:t>
      </w:r>
    </w:p>
    <w:p w14:paraId="374F268A" w14:textId="77777777" w:rsidR="00731239" w:rsidRDefault="00731239" w:rsidP="006E4B70"/>
    <w:p w14:paraId="38122EE6" w14:textId="6629D401" w:rsidR="006E4B70" w:rsidRDefault="006E4B70" w:rsidP="006E4B70">
      <w:r>
        <w:t xml:space="preserve"> Nevertheless, an external reader can obtain similar results in terms of error metrics by fitting any choice among </w:t>
      </w:r>
      <w:r w:rsidR="00D44E6B">
        <w:t xml:space="preserve">first two models </w:t>
      </w:r>
      <w:r>
        <w:t>to predict the goals scored by two competing teams as well as the goal difference in each match.</w:t>
      </w:r>
    </w:p>
    <w:p w14:paraId="2C9DF94F" w14:textId="77777777" w:rsidR="006E4B70" w:rsidRDefault="006E4B70" w:rsidP="006E4B70"/>
    <w:p w14:paraId="437217AD" w14:textId="4C0C4829" w:rsidR="006E4B70" w:rsidRDefault="006E4B70" w:rsidP="006E4B70">
      <w:r>
        <w:t>By the end of tournament, as we will obtain more and more matches to our sample, we are going to proceed a more detailed evaluation of the predictive performance of fitted models by using additional error metrics such as log-loss metrics, another classification metrics</w:t>
      </w:r>
      <w:r w:rsidR="004F7E1F">
        <w:t xml:space="preserve"> such as AUC, F1</w:t>
      </w:r>
      <w:r w:rsidR="00D44E6B">
        <w:t>,</w:t>
      </w:r>
      <w:r>
        <w:t xml:space="preserve"> </w:t>
      </w:r>
      <w:r w:rsidR="00D44E6B">
        <w:t>etc.</w:t>
      </w:r>
      <w:r>
        <w:t>… to understand at great extent which model would perform better to such tournament based on the training data that we use for.</w:t>
      </w:r>
    </w:p>
    <w:p w14:paraId="0B0328BC" w14:textId="77777777" w:rsidR="006E4B70" w:rsidRDefault="006E4B70" w:rsidP="006E4B70"/>
    <w:p w14:paraId="133E6275" w14:textId="77777777" w:rsidR="006E4B70" w:rsidRDefault="006E4B70" w:rsidP="006E4B70">
      <w:pPr>
        <w:pStyle w:val="Heading1"/>
      </w:pPr>
      <w:r>
        <w:t>Bibliography</w:t>
      </w:r>
    </w:p>
    <w:p w14:paraId="5B53D1C8" w14:textId="77777777" w:rsidR="006E4B70" w:rsidRDefault="006E4B70" w:rsidP="006E4B7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Grandini</w:t>
      </w:r>
      <w:proofErr w:type="spellEnd"/>
      <w:r>
        <w:rPr>
          <w:rFonts w:ascii="Arial" w:hAnsi="Arial" w:cs="Arial"/>
          <w:color w:val="222222"/>
          <w:sz w:val="20"/>
          <w:szCs w:val="20"/>
          <w:shd w:val="clear" w:color="auto" w:fill="FFFFFF"/>
        </w:rPr>
        <w:t xml:space="preserve">, M., Bagli, E., &amp; </w:t>
      </w:r>
      <w:proofErr w:type="spellStart"/>
      <w:r>
        <w:rPr>
          <w:rFonts w:ascii="Arial" w:hAnsi="Arial" w:cs="Arial"/>
          <w:color w:val="222222"/>
          <w:sz w:val="20"/>
          <w:szCs w:val="20"/>
          <w:shd w:val="clear" w:color="auto" w:fill="FFFFFF"/>
        </w:rPr>
        <w:t>Visani</w:t>
      </w:r>
      <w:proofErr w:type="spellEnd"/>
      <w:r>
        <w:rPr>
          <w:rFonts w:ascii="Arial" w:hAnsi="Arial" w:cs="Arial"/>
          <w:color w:val="222222"/>
          <w:sz w:val="20"/>
          <w:szCs w:val="20"/>
          <w:shd w:val="clear" w:color="auto" w:fill="FFFFFF"/>
        </w:rPr>
        <w:t>, G. (2020). Metrics for multi-class classification: an overview.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arXiv:2008.05756</w:t>
      </w:r>
      <w:r>
        <w:rPr>
          <w:rFonts w:ascii="Arial" w:hAnsi="Arial" w:cs="Arial"/>
          <w:color w:val="222222"/>
          <w:sz w:val="20"/>
          <w:szCs w:val="20"/>
          <w:shd w:val="clear" w:color="auto" w:fill="FFFFFF"/>
        </w:rPr>
        <w:t>.</w:t>
      </w:r>
    </w:p>
    <w:p w14:paraId="39A3D719" w14:textId="77777777" w:rsidR="006E4B70" w:rsidRDefault="006E4B70" w:rsidP="006E4B70"/>
    <w:p w14:paraId="5D7FB412" w14:textId="77777777" w:rsidR="006E4B70" w:rsidRPr="000B647D" w:rsidRDefault="006E4B70" w:rsidP="006E4B70">
      <w:r>
        <w:t>VEHTARI, A., GELMAN, A., &amp; GABRY, J. (2017) Practical Bayesian model evaluation using leave one-out cross-validation and WAIC, Statistics and Computing, 27, 1413–1432.</w:t>
      </w:r>
    </w:p>
    <w:p w14:paraId="2FE3560C" w14:textId="77777777" w:rsidR="00787E09" w:rsidRDefault="00787E09"/>
    <w:sectPr w:rsidR="0078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16137"/>
    <w:multiLevelType w:val="hybridMultilevel"/>
    <w:tmpl w:val="803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373D8"/>
    <w:multiLevelType w:val="hybridMultilevel"/>
    <w:tmpl w:val="EE388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975098">
    <w:abstractNumId w:val="1"/>
  </w:num>
  <w:num w:numId="2" w16cid:durableId="96423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70"/>
    <w:rsid w:val="00004DD8"/>
    <w:rsid w:val="000548B0"/>
    <w:rsid w:val="0008351E"/>
    <w:rsid w:val="00184839"/>
    <w:rsid w:val="00295DBD"/>
    <w:rsid w:val="00316D7B"/>
    <w:rsid w:val="00352D2A"/>
    <w:rsid w:val="004A5F2F"/>
    <w:rsid w:val="004F7E1F"/>
    <w:rsid w:val="00505F50"/>
    <w:rsid w:val="00612C51"/>
    <w:rsid w:val="0067755B"/>
    <w:rsid w:val="006B418B"/>
    <w:rsid w:val="006E4B70"/>
    <w:rsid w:val="007052F6"/>
    <w:rsid w:val="00731239"/>
    <w:rsid w:val="007466B9"/>
    <w:rsid w:val="00787E09"/>
    <w:rsid w:val="007F6CC3"/>
    <w:rsid w:val="008C40D1"/>
    <w:rsid w:val="00906EF3"/>
    <w:rsid w:val="009B4D5B"/>
    <w:rsid w:val="009D7266"/>
    <w:rsid w:val="009F171C"/>
    <w:rsid w:val="00A260E5"/>
    <w:rsid w:val="00A732DC"/>
    <w:rsid w:val="00AC6876"/>
    <w:rsid w:val="00C42105"/>
    <w:rsid w:val="00C621A0"/>
    <w:rsid w:val="00C90590"/>
    <w:rsid w:val="00D44E6B"/>
    <w:rsid w:val="00D70E24"/>
    <w:rsid w:val="00DA22A6"/>
    <w:rsid w:val="00E31171"/>
    <w:rsid w:val="00E770EF"/>
    <w:rsid w:val="00ED64C0"/>
    <w:rsid w:val="00F5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FC61"/>
  <w15:chartTrackingRefBased/>
  <w15:docId w15:val="{E060EDF0-AAFB-42F9-977A-68B55770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05"/>
  </w:style>
  <w:style w:type="paragraph" w:styleId="Heading1">
    <w:name w:val="heading 1"/>
    <w:basedOn w:val="Normal"/>
    <w:next w:val="Normal"/>
    <w:link w:val="Heading1Char"/>
    <w:uiPriority w:val="9"/>
    <w:qFormat/>
    <w:rsid w:val="006E4B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B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B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8CCA443B0D4C46A9E91B738A1A382F" ma:contentTypeVersion="4" ma:contentTypeDescription="Create a new document." ma:contentTypeScope="" ma:versionID="3ae63793a90fcec920ac40afdc0973c9">
  <xsd:schema xmlns:xsd="http://www.w3.org/2001/XMLSchema" xmlns:xs="http://www.w3.org/2001/XMLSchema" xmlns:p="http://schemas.microsoft.com/office/2006/metadata/properties" xmlns:ns3="f31444ac-1c35-44b4-8916-686d135a791c" targetNamespace="http://schemas.microsoft.com/office/2006/metadata/properties" ma:root="true" ma:fieldsID="0192c8eb5c651ad3f10b2480c5278831" ns3:_="">
    <xsd:import namespace="f31444ac-1c35-44b4-8916-686d135a79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444ac-1c35-44b4-8916-686d135a7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B9DDE-E30A-4F31-BA4B-454F3F032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444ac-1c35-44b4-8916-686d135a7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D5EDE-D154-4A1C-A916-D7E318AA84BE}">
  <ds:schemaRefs>
    <ds:schemaRef ds:uri="http://schemas.microsoft.com/sharepoint/v3/contenttype/forms"/>
  </ds:schemaRefs>
</ds:datastoreItem>
</file>

<file path=customXml/itemProps3.xml><?xml version="1.0" encoding="utf-8"?>
<ds:datastoreItem xmlns:ds="http://schemas.openxmlformats.org/officeDocument/2006/customXml" ds:itemID="{1C02EE18-F656-4F22-BAEF-E4767195C5C6}">
  <ds:schemaRefs>
    <ds:schemaRef ds:uri="http://schemas.microsoft.com/office/2006/documentManagement/types"/>
    <ds:schemaRef ds:uri="http://schemas.microsoft.com/office/2006/metadata/properties"/>
    <ds:schemaRef ds:uri="f31444ac-1c35-44b4-8916-686d135a791c"/>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Palaskas</dc:creator>
  <cp:keywords/>
  <dc:description/>
  <cp:lastModifiedBy>Vasileios Palaskas</cp:lastModifiedBy>
  <cp:revision>2</cp:revision>
  <dcterms:created xsi:type="dcterms:W3CDTF">2022-12-08T08:30:00Z</dcterms:created>
  <dcterms:modified xsi:type="dcterms:W3CDTF">2022-12-08T08:30:00Z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0x010100EC8CCA443B0D4C46A9E91B738A1A382F</vt:lpwstr>
  </property>
</Properties>
</file>