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0"/>
        </w:rPr>
        <w:t>RELATÓRIO TÉCNICO — SPRINT 7</w:t>
      </w:r>
    </w:p>
    <w:p>
      <w:pPr>
        <w:jc w:val="center"/>
      </w:pPr>
      <w:r>
        <w:rPr>
          <w:color w:val="2E74B5"/>
          <w:sz w:val="28"/>
        </w:rPr>
        <w:t>Avaliação de Maturidade (TMMi v1.2), Métricas DORA 2024</w:t>
        <w:br/>
        <w:t>e Position Paper Crítico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Aluno</w:t>
            </w:r>
          </w:p>
        </w:tc>
        <w:tc>
          <w:tcPr>
            <w:tcW w:type="dxa" w:w="4320"/>
          </w:tcPr>
          <w:p>
            <w:r>
              <w:t>Leonardo Eliel Dias da Silva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Disciplina</w:t>
            </w:r>
          </w:p>
        </w:tc>
        <w:tc>
          <w:tcPr>
            <w:tcW w:type="dxa" w:w="4320"/>
          </w:tcPr>
          <w:p>
            <w:r>
              <w:t>Teste de Software — Sistema de Internet Banking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Professor</w:t>
            </w:r>
          </w:p>
        </w:tc>
        <w:tc>
          <w:tcPr>
            <w:tcW w:type="dxa" w:w="4320"/>
          </w:tcPr>
          <w:p>
            <w:r>
              <w:t>Dr. Claudinei de Oliveira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Instituição</w:t>
            </w:r>
          </w:p>
        </w:tc>
        <w:tc>
          <w:tcPr>
            <w:tcW w:type="dxa" w:w="4320"/>
          </w:tcPr>
          <w:p>
            <w:r>
              <w:t>Instituto Federal de Rondônia — IFRO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320"/>
          </w:tcPr>
          <w:p>
            <w:r>
              <w:t>17/06/2026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4320"/>
          </w:tcPr>
          <w:p>
            <w:r>
              <w:t>Python 3.14 · Flask 3.1 · pytest 9.0 · mutmut 3.5 · pytest-bdd 8.1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1. Autoavaliação de Maturidade do Processo de Teste (TMMi v1.2)</w:t>
      </w:r>
    </w:p>
    <w:p>
      <w:r>
        <w:t>Com base no histórico empírico de desenvolvimento dos Sprints 1 a 6 e na estrutura atual da suíte de testes do My Cash Controller, foi realizada a autoavaliação do processo em relação às áreas de processo do TMMi Level 2 (Managed) com base no princípio da honestidade diagnóstica:</w:t>
      </w:r>
    </w:p>
    <w:p>
      <w:r>
        <w:rPr>
          <w:b/>
        </w:rPr>
        <w:t>a) Test Policy and Strategy (Política e Estratégia de Teste)</w:t>
        <w:br/>
      </w:r>
      <w:r>
        <w:t>Status: NÃO ATINGIDO</w:t>
        <w:br/>
        <w:t>Justificativa: A suíte de testes carece de um documento formal ou diretriz explícita que defina a política de testes da organização ou a estratégia de execução de longo prazo. Embora tivéssemos critérios técnicos de aceitação descritos nos enunciados das tarefas escolares, os testes foram concebidos de forma puramente reativa e sob demanda. Não há uma governança estruturada de testes na pasta do projeto.</w:t>
      </w:r>
    </w:p>
    <w:p>
      <w:r>
        <w:rPr>
          <w:b/>
        </w:rPr>
        <w:t>b) Test Planning (Planejamento de Teste)</w:t>
        <w:br/>
      </w:r>
      <w:r>
        <w:t>Status: NÃO ATINGIDO</w:t>
        <w:br/>
        <w:t>Justificativa: A concepção e a escrita dos testes ocorreram de forma incremental e reativa, adaptando-se sprint a sprint conforme as novas funcionalidades eram propostas. Não houve a elaboração prévia de um Plano de Testes abrangente que estimasse cronogramas, esforço de equipe, alocação de recursos físicos/humanos ou análise antecipada de riscos do processo de teste.</w:t>
      </w:r>
    </w:p>
    <w:p>
      <w:r>
        <w:rPr>
          <w:b/>
        </w:rPr>
        <w:t>c) Test Monitoring and Control (Monitoramento e Controle de Testes)</w:t>
        <w:br/>
      </w:r>
      <w:r>
        <w:t>Status: ATINGIDO</w:t>
        <w:br/>
        <w:t>Justificativa: Há monitoramento contínuo e quantitativo sobre a qualidade e a eficácia da suíte de testes. A cobertura de declarações foi aferida de forma sistemática nas Sprints 2 e 4 através do pytest-cov (comando --cov-report=term-missing). Além disso, o Mutation Score (porcentagem de mutantes eliminados) foi controlado ativamente na Sprint 4 e Sprint 5 com o uso do mutmut, garantindo métricas objetivas de sensibilidade.</w:t>
      </w:r>
    </w:p>
    <w:p>
      <w:r>
        <w:rPr>
          <w:b/>
        </w:rPr>
        <w:t>d) Test Design and Execution (Design e Execução de Testes)</w:t>
        <w:br/>
      </w:r>
      <w:r>
        <w:t>Status: ATINGIDO</w:t>
        <w:br/>
        <w:t>Justificativa: Aplicamos técnicas formais reconhecidas pelo mercado para o desenho dos casos de teste. Cita-se como evidência: a técnica de caixa-preta baseada na Análise de Valor de Fronteira (aplicada nos limites de transferência com saldo exatamente igual ao valor do saque/transferência); e Property-Based Testing com a biblioteca Hypothesis no arquivo test_hypothesis.py (Sprint 3) para validar invariantes em larga escala.</w:t>
      </w:r>
    </w:p>
    <w:p>
      <w:r>
        <w:rPr>
          <w:b/>
        </w:rPr>
        <w:t>e) Test Environment (Ambiente de Teste)</w:t>
        <w:br/>
      </w:r>
      <w:r>
        <w:t>Status: ATINGIDO</w:t>
        <w:br/>
        <w:t>Justificativa: O projeto conta com um ambiente de testes rigorosamente controlado, isolado e repetível. A configuração está centralizada em config.py (externalizando a conexão do banco de dados SQLite) e o isolamento físico do estado é garantido pelo arquivo conftest.py (Sprint 2) através de uma fixture autouse=True que recria a tabela e repopula os dados padrão antes de cada execução, prevenindo a instabilidade de testes (flaky tests).</w:t>
      </w:r>
    </w:p>
    <w:p/>
    <w:p>
      <w:r>
        <w:rPr>
          <w:b/>
        </w:rPr>
        <w:t xml:space="preserve">Nível TMMi Atual do Projeto: </w:t>
      </w:r>
      <w:r>
        <w:t>Level 1 (Initial)</w:t>
        <w:br/>
      </w:r>
      <w:r>
        <w:rPr>
          <w:b/>
        </w:rPr>
        <w:t xml:space="preserve">Comparação com o Benchmark Setorial: </w:t>
      </w:r>
      <w:r>
        <w:t>O survey internacional realizado por Van Veenendaal (2024) com 60 instituições financeiras globais estabeleceu o TMMi Level 3 ("Defined") como o patamar modal do setor bancário.</w:t>
        <w:br/>
      </w:r>
      <w:r>
        <w:rPr>
          <w:b/>
        </w:rPr>
        <w:t xml:space="preserve">Diagnóstico Crítico: </w:t>
      </w:r>
      <w:r>
        <w:t>Embora a nossa suíte possua práticas técnicas avançadas de nível 2 (Monitoramento, Ambiente Controlado, Design por BDD e Propriedades) e práticas de nível 4 (Testes de Mutação), a ausência de Planejamento de Testes e Políticas/Estratégias de Testes nos impede de obter a certificação de TMMi Level 2. Conforme as regras do TMMi, para que um nível seja atingido, todas as suas áreas de processo devem ser satisfeitas. Assim, nossa suíte posiciona-se no Level 1 (Initial), indicando lacunas organizacionais que exigem mitigação com documentação estratégica para alcançar o benchmark do setor financeiro (Level 3).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Cálculo Numérico de Métricas DORA 2024</w:t>
      </w:r>
    </w:p>
    <w:p>
      <w:r>
        <w:t>Resultados obtidos a partir dos dados históricos reais das Sprints 1 a 6:</w:t>
      </w:r>
    </w:p>
    <w:p>
      <w:r>
        <w:rPr>
          <w:b/>
        </w:rPr>
        <w:t>a) Lead Time for Changes</w:t>
        <w:br/>
      </w:r>
      <w:r>
        <w:t>Tempo entre a publicação da especificação da Q8 (09-05-2026 às 08:00) e a conclusão da primeira suíte funcional test_ia_gerado.py no Sprint 1 (22-05-2026 às 20:13).</w:t>
        <w:br/>
        <w:t>Valor: 13,5 dias (324 horas) | Cluster: Medium Performer</w:t>
      </w:r>
    </w:p>
    <w:p>
      <w:r>
        <w:rPr>
          <w:b/>
        </w:rPr>
        <w:t>b) Deployment Frequency</w:t>
        <w:br/>
      </w:r>
      <w:r>
        <w:t>Frequência de entregas funcionais concluídas e publicadas no AVA por semana durante o período do projeto.</w:t>
        <w:br/>
        <w:t>Valor: 1,5 deploys por semana (6 deploys em 4 semanas) | Cluster: High Performer</w:t>
      </w:r>
    </w:p>
    <w:p>
      <w:r>
        <w:rPr>
          <w:b/>
        </w:rPr>
        <w:t>c) Change Failure Rate</w:t>
        <w:br/>
      </w:r>
      <w:r>
        <w:t>Razão entre mutantes de insuficiência que sobreviveram aos testes e o total de mutantes estruturais gerados (desconsiderando mutantes equivalentes).</w:t>
        <w:br/>
        <w:t>Valor: 100% no Sprint 4 (suíte original da IA) | 0% no Sprint 5 (suíte blindada com BDD) | Cluster: Low Performer (Sprint 4) -&gt; Elite Performer (Sprint 5)</w:t>
      </w:r>
    </w:p>
    <w:p>
      <w:r>
        <w:rPr>
          <w:b/>
        </w:rPr>
        <w:t>d) Mean Time to Recovery</w:t>
        <w:br/>
      </w:r>
      <w:r>
        <w:t>Tempo decorrido entre a detecção do erro de concorrência por poluição do banco de dados no Sprint 1 (22-05-2026 às 20:14) e sua correção definitiva no conftest.py no Sprint 2 (22-05-2026 às 20:54).</w:t>
        <w:br/>
        <w:t>Valor: 40 minutos (0,67 horas) | Cluster: Elite Performer</w:t>
      </w:r>
    </w:p>
    <w:p>
      <w:pPr>
        <w:pStyle w:val="Heading2"/>
      </w:pPr>
      <w:r>
        <w:rPr>
          <w:color w:val="2E74B5"/>
        </w:rPr>
        <w:t>Planilha de Métricas DORA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1F4E79"/>
          </w:tcPr>
          <w:p>
            <w:r>
              <w:rPr>
                <w:b/>
                <w:color w:val="FFFFFF"/>
              </w:rPr>
              <w:t>Métrica DORA</w:t>
            </w:r>
          </w:p>
        </w:tc>
        <w:tc>
          <w:tcPr>
            <w:tcW w:type="dxa" w:w="3168"/>
            <w:shd w:val="clear" w:color="auto" w:fill="1F4E79"/>
          </w:tcPr>
          <w:p>
            <w:r>
              <w:rPr>
                <w:b/>
                <w:color w:val="FFFFFF"/>
              </w:rPr>
              <w:t>Definição Operacional Acadêmica</w:t>
            </w:r>
          </w:p>
        </w:tc>
        <w:tc>
          <w:tcPr>
            <w:tcW w:type="dxa" w:w="1728"/>
            <w:shd w:val="clear" w:color="auto" w:fill="1F4E79"/>
          </w:tcPr>
          <w:p>
            <w:r>
              <w:rPr>
                <w:b/>
                <w:color w:val="FFFFFF"/>
              </w:rPr>
              <w:t>Valor Calculado</w:t>
            </w:r>
          </w:p>
        </w:tc>
        <w:tc>
          <w:tcPr>
            <w:tcW w:type="dxa" w:w="3888"/>
            <w:shd w:val="clear" w:color="auto" w:fill="1F4E79"/>
          </w:tcPr>
          <w:p>
            <w:r>
              <w:rPr>
                <w:b/>
                <w:color w:val="FFFFFF"/>
              </w:rPr>
              <w:t>Cluster e Justificativa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t>Lead Time for Changes</w:t>
            </w:r>
          </w:p>
        </w:tc>
        <w:tc>
          <w:tcPr>
            <w:tcW w:type="dxa" w:w="3168"/>
            <w:shd w:val="clear" w:color="auto" w:fill="DEEAF1"/>
          </w:tcPr>
          <w:p>
            <w:r>
              <w:t>Tempo entre especificação e código de testes passar no pytest</w:t>
            </w:r>
          </w:p>
        </w:tc>
        <w:tc>
          <w:tcPr>
            <w:tcW w:type="dxa" w:w="1728"/>
            <w:shd w:val="clear" w:color="auto" w:fill="DEEAF1"/>
          </w:tcPr>
          <w:p>
            <w:r>
              <w:t>13,5 dias</w:t>
            </w:r>
          </w:p>
        </w:tc>
        <w:tc>
          <w:tcPr>
            <w:tcW w:type="dxa" w:w="3888"/>
            <w:shd w:val="clear" w:color="auto" w:fill="DEEAF1"/>
          </w:tcPr>
          <w:p>
            <w:r>
              <w:t>Medium Performer (1 a 2 semanas para mudanças passarem ao deploy)</w:t>
            </w:r>
          </w:p>
        </w:tc>
      </w:tr>
      <w:tr>
        <w:tc>
          <w:tcPr>
            <w:tcW w:type="dxa" w:w="2592"/>
          </w:tcPr>
          <w:p>
            <w:r>
              <w:t>Deployment Frequency</w:t>
            </w:r>
          </w:p>
        </w:tc>
        <w:tc>
          <w:tcPr>
            <w:tcW w:type="dxa" w:w="3168"/>
          </w:tcPr>
          <w:p>
            <w:r>
              <w:t>Frequência de sprints com artefatos funcionais entregues no AVA por semana</w:t>
            </w:r>
          </w:p>
        </w:tc>
        <w:tc>
          <w:tcPr>
            <w:tcW w:type="dxa" w:w="1728"/>
          </w:tcPr>
          <w:p>
            <w:r>
              <w:t>1,5 deploys/semana</w:t>
            </w:r>
          </w:p>
        </w:tc>
        <w:tc>
          <w:tcPr>
            <w:tcW w:type="dxa" w:w="3888"/>
          </w:tcPr>
          <w:p>
            <w:r>
              <w:t>High Performer (cadência constante de deploy menor que uma semana)</w:t>
            </w:r>
          </w:p>
        </w:tc>
      </w:tr>
      <w:tr>
        <w:tc>
          <w:tcPr>
            <w:tcW w:type="dxa" w:w="2592"/>
            <w:shd w:val="clear" w:color="auto" w:fill="DEEAF1"/>
          </w:tcPr>
          <w:p>
            <w:r>
              <w:t>Change Failure Rate</w:t>
            </w:r>
          </w:p>
        </w:tc>
        <w:tc>
          <w:tcPr>
            <w:tcW w:type="dxa" w:w="3168"/>
            <w:shd w:val="clear" w:color="auto" w:fill="DEEAF1"/>
          </w:tcPr>
          <w:p>
            <w:r>
              <w:t>Razão entre mutantes de insuficiência sobreviventes e mutantes matáveis</w:t>
            </w:r>
          </w:p>
        </w:tc>
        <w:tc>
          <w:tcPr>
            <w:tcW w:type="dxa" w:w="1728"/>
            <w:shd w:val="clear" w:color="auto" w:fill="DEEAF1"/>
          </w:tcPr>
          <w:p>
            <w:r>
              <w:t>100% (S4) -&gt; 0% (S5)</w:t>
            </w:r>
          </w:p>
        </w:tc>
        <w:tc>
          <w:tcPr>
            <w:tcW w:type="dxa" w:w="3888"/>
            <w:shd w:val="clear" w:color="auto" w:fill="DEEAF1"/>
          </w:tcPr>
          <w:p>
            <w:r>
              <w:t>Low Performer no Sprint 4 (erros escapavam) | Elite Performer no Sprint 5 (BDD)</w:t>
            </w:r>
          </w:p>
        </w:tc>
      </w:tr>
      <w:tr>
        <w:tc>
          <w:tcPr>
            <w:tcW w:type="dxa" w:w="2592"/>
          </w:tcPr>
          <w:p>
            <w:r>
              <w:t>Mean Time to Recovery</w:t>
            </w:r>
          </w:p>
        </w:tc>
        <w:tc>
          <w:tcPr>
            <w:tcW w:type="dxa" w:w="3168"/>
          </w:tcPr>
          <w:p>
            <w:r>
              <w:t>Tempo entre falha por sujeira de banco e correção via fixture conftest</w:t>
            </w:r>
          </w:p>
        </w:tc>
        <w:tc>
          <w:tcPr>
            <w:tcW w:type="dxa" w:w="1728"/>
          </w:tcPr>
          <w:p>
            <w:r>
              <w:t>40 minutos</w:t>
            </w:r>
          </w:p>
        </w:tc>
        <w:tc>
          <w:tcPr>
            <w:tcW w:type="dxa" w:w="3888"/>
          </w:tcPr>
          <w:p>
            <w:r>
              <w:t>Elite Performer (restauração do ambiente de teste em menos de uma hora)</w:t>
            </w:r>
          </w:p>
        </w:tc>
      </w:tr>
    </w:tbl>
    <w:p/>
    <w:p>
      <w:r>
        <w:rPr>
          <w:b/>
        </w:rPr>
        <w:t xml:space="preserve">Posicionamento Global no Cluster DORA: </w:t>
      </w:r>
      <w:r>
        <w:t>Medium Performer</w:t>
        <w:br/>
      </w:r>
      <w:r>
        <w:rPr>
          <w:b/>
        </w:rPr>
        <w:t xml:space="preserve">Justificativa: </w:t>
      </w:r>
      <w:r>
        <w:t>Embora a frequência de entrega (High) e o tempo de recuperação (Elite) indiquem agilidade, a equipe é limitada pelo tempo de Lead Time (Medium) e pela taxa de falha inicial de alterações (Low no Sprint 4). O uso de código gerado por IA sem testes de mutação representou risco de bugs. O BDD reduziu essa taxa para 0% (Elite) no Sprint 5, mas, na média histórica das sprints, o time permanece consolidado no cluster Medium Performer, consistente com a ausência de um pipeline totalmente automatizado de CI/CD.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Confronto com a Literatura Científica (Investigação Técnica 3)</w:t>
      </w:r>
    </w:p>
    <w:p>
      <w:r>
        <w:t>Respostas estruturadas baseadas nos resultados práticos do projeto em confronto com o estudo de El Haji, Brandt e Zaidman (2024):</w:t>
      </w:r>
    </w:p>
    <w:p>
      <w:r>
        <w:rPr>
          <w:b/>
        </w:rPr>
        <w:t>a) Usabilidade dos Testes Gerados por IA</w:t>
        <w:br/>
      </w:r>
      <w:r>
        <w:t>Achado: Os autores apontam baixa usabilidade dos testes criados por LLMs, exigindo ajustes manuais frequentes.</w:t>
        <w:br/>
        <w:t>Evidência: No Sprint 1, a suíte test_ia_gerado.py utilizava chamadas HTTP reais via requests e não isolava o banco SQLite, quebrando o princípio de independência. No Sprint 5, a IA gerou passos BDD usando requisições externas redundantes; tivemos que reescrever para usar app.test_client() em memória para viabilizar os testes de mutação.</w:t>
      </w:r>
    </w:p>
    <w:p>
      <w:r>
        <w:rPr>
          <w:b/>
        </w:rPr>
        <w:t>b) Melhoria com Contexto Prévio (conftest.py)</w:t>
        <w:br/>
      </w:r>
      <w:r>
        <w:t>Achado: A qualidade das sugestões da IA melhora quando há códigos ou templates de referência a serem mimetizados no arquivo.</w:t>
        <w:br/>
        <w:t>Evidência: Após criarmos manualmente o arquivo conftest.py com a fixture autouse=True para resetar o SQLite no Sprint 2, as sugestões subsequentes da IA (como o teste baseado em propriedades no Sprint 3 e os passos BDD no Sprint 5) tornaram-se mais alinhadas com a arquitetura de teste, exigindo menos refatorações.</w:t>
      </w:r>
    </w:p>
    <w:p>
      <w:r>
        <w:rPr>
          <w:b/>
        </w:rPr>
        <w:t>c) A IA como Ferramenta de Assistência versus Autoridade Técnica</w:t>
        <w:br/>
      </w:r>
      <w:r>
        <w:t>Evidência: O Gemini foi tratado incorretamente como autoridade inquestionável na transição do Sprint 1 para o Sprint 2. Confiou-se que a IA havia coberto o cenário limite da transferência com saldo igual ao valor porque o pytest retornava verde. Contudo, a IA havia omitido as asserções físicas de saldo no banco de dados. Isso provou que a IA atua na "cobertura sintática" de linhas sem compreender a integridade contábil exigida pelo negócio, falha revelada somente no teste de mutação do Sprint 4.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Position Paper Crítico (Investigação Técnica 4)</w:t>
      </w:r>
    </w:p>
    <w:p>
      <w:pPr>
        <w:jc w:val="center"/>
      </w:pPr>
      <w:r>
        <w:rPr>
          <w:b/>
          <w:sz w:val="24"/>
        </w:rPr>
        <w:t>A Ilusão da Cobertura Sintática: Por que o TMMi v1.2 e o DORA 2024 Devem Priorizar o Mutation Score como Métrica de Maturidade na Era dos Modelos de Linguagem</w:t>
      </w:r>
    </w:p>
    <w:p>
      <w:pPr>
        <w:spacing w:line="360" w:lineRule="auto"/>
        <w:jc w:val="both"/>
      </w:pPr>
      <w:r>
        <w:t>A disseminação de ferramentas de IA generativa de código, como o Google Gemini, acelerou o processo de codificação de testes, mas introduziu riscos graves de qualidade. A cobertura de declarações (Statement Coverage), embora amplamente utilizada no TMMi Level 2 e associada à velocidade (throughput) no DORA, tornou-se uma métrica de vaidade incapaz de detectar falhas lógicas sutis geradas por LLMs. Defende-se que o TMMi e o DORA devem reformular seus critérios de maturidade, elevando o Mutation Score (teste de mutação) de uma prática avançada para uma métrica obrigatória de estabilidade (stability) no início do ciclo de desenvolvimento de software assistido por IA.</w:t>
      </w:r>
    </w:p>
    <w:p>
      <w:pPr>
        <w:spacing w:line="360" w:lineRule="auto"/>
        <w:jc w:val="both"/>
      </w:pPr>
      <w:r>
        <w:t>Essa tese baseia-se na evolução da suíte de testes da API de Internet Banking (My Cash Controller) ao longo das Sprints 1 a 5. Na Sprint 1, os testes unitários reativos gerados pela IA alcançaram cobertura linear, mas falharam na repetibilidade devido à persistência em disco do SQLite e à dependência de conexões de rede HTTP em test_ia_gerado.py. Corrigido esse acoplamento arquitetural nas Sprints 2 e 4 (usando app.test_client() em memória), o teste de mutação via mutmut revelou que 100% dos mutantes estruturais não-equivalentes (como a inversão lógica na verificação de saldo de conta_origem["saldo"] &lt; valor para &lt;= valor) sobreviveram à suíte anterior. Somente com a introdução do BDD na Sprint 5 (features/transferencia.feature) e o mapeamento de regras de negócio, os mutantes foram eliminados. A cobertura convencional de linhas não revelou as vulnerabilidades que apenas o Mutation Score capturou.</w:t>
      </w:r>
    </w:p>
    <w:p>
      <w:pPr>
        <w:spacing w:line="360" w:lineRule="auto"/>
        <w:jc w:val="both"/>
      </w:pPr>
      <w:r>
        <w:t>Estes achados corroboram o estudo empírico de El Haji, Brandt e Zaidman (2024), que apontam a usabilidade insatisfatória de testes autônomos gerados por LLMs em Python. Como os autores demonstram, a IA (instanciada como Google Gemini em nosso contexto) atua como um mimetizador de padrões locais que necessita de intervenção de especialistas para ajustar dependências arquiteturais e contextuais. Ademais, o declínio de 7,2% em estabilidade de entrega observado no Accelerate State of DevOps Report (DORA, 2024) em equipes com alta adoção de IA reflete esse cenário de "saturação de testes frágeis". O trabalho de Yuan et al. (2024) reforça essa perspectiva ao provar que LLMs carecem de entendimento semântico profundo das regras de negócio, gerando asserções redundantes ou tautológicas que fingem cobrir o código, mas não interceptam bugs reais.</w:t>
      </w:r>
    </w:p>
    <w:p>
      <w:pPr>
        <w:spacing w:line="360" w:lineRule="auto"/>
        <w:jc w:val="both"/>
      </w:pPr>
      <w:r>
        <w:t>Propõe-se uma reformulação metodológica no TMMi v1.2 e no framework DORA. No TMMi, a área de processo Test Design and Execution (Level 2) deve exigir o teste de mutação em caráter obrigatório sempre que ferramentas de IA forem empregadas para gerar código ou testes. No DORA, propõe-se incluir a métrica Mutation Failure Rate (MFR) na dimensão de Estabilidade (Stability) de software. O MFR atuaria como um portão de qualidade automatizado em pipelines de Integração Contínua (CI), bloqueando deploys cujo Mutation Score seja inferior a 80% dos mutantes matáveis. Isso desencoraja a aceitação cega de testes automatizados ineficazes criados por LLMs e força o refinamento conceitual dos testes antes de chegarem à produção.</w:t>
      </w:r>
    </w:p>
    <w:p>
      <w:pPr>
        <w:spacing w:line="360" w:lineRule="auto"/>
        <w:jc w:val="both"/>
      </w:pPr>
      <w:r>
        <w:t>Reconhece-se que a adoção em larga escala do teste de mutação obrigatório enfrenta restrições operacionais graves, devido ao elevado custo computacional requerido para executar repetidas vezes a suíte de testes sob mutações no código-fonte. Em sistemas monolíticos complexos, essa abordagem pode comprometer a métrica de Lead Time for Changes. Estudos futuros devem avaliar a viabilidade de testes de mutação preditivos ou restritos apenas ao escopo das alterações (diff mutation testing) para viabilizar a proposta em esteiras ágeis.</w:t>
      </w:r>
    </w:p>
    <w:p>
      <w:r>
        <w:rPr>
          <w:b/>
        </w:rPr>
        <w:br/>
        <w:t>Referências Bibliográficas:</w:t>
      </w:r>
    </w:p>
    <w:p>
      <w:pPr>
        <w:ind w:left="720"/>
      </w:pPr>
      <w:r>
        <w:t>DORA / GOOGLE CLOUD. Accelerate State of DevOps Report 2024. Google Cloud, 2024. Disponível em: &lt;https://dora.dev/research/2024/dora-report/&gt;. Acesso em: 17 jun. 2026.</w:t>
      </w:r>
    </w:p>
    <w:p>
      <w:pPr>
        <w:ind w:left="720"/>
      </w:pPr>
      <w:r>
        <w:t>EL HAJI, K.; BRANDT, C.; ZAIDMAN, A. Using GitHub Copilot for Test Generation in Python: An Empirical Study. In: ACM/IEEE International Conference on Automation of Software Test (AST), 5., 2024, Lisbon. Proceedings... New York: ACM, 2024. p. 45-55. DOI: 10.1145/3644032.3644443.</w:t>
      </w:r>
    </w:p>
    <w:p>
      <w:pPr>
        <w:ind w:left="720"/>
      </w:pPr>
      <w:r>
        <w:t>LI, Y. et al. Evaluating large language models for software testing. Computer Standards &amp; Interfaces, v. 93, 103942, 2025. DOI: 10.1016/j.csi.2024.103942.</w:t>
      </w:r>
    </w:p>
    <w:p>
      <w:pPr>
        <w:ind w:left="720"/>
      </w:pPr>
      <w:r>
        <w:t>TMMi FOUNDATION. TMMi Framework: Release 1.2. TMMi Foundation, 2018. Disponível em: &lt;https://www.tmmi.org/tmmi-framework/&gt;. Acesso em: 17 jun. 2026.</w:t>
      </w:r>
    </w:p>
    <w:p>
      <w:pPr>
        <w:ind w:left="720"/>
      </w:pPr>
      <w:r>
        <w:t>VAN VEENENDAAL, E. Test Maturity Model integration (TMMi): Test Maturity in the Financial Domain. American Journal of Computer Science and Technology, v. 7, n. 2, 2024. DOI: 10.11648/j.ajcst.20240702.13.</w:t>
      </w:r>
    </w:p>
    <w:p>
      <w:pPr>
        <w:ind w:left="720"/>
      </w:pPr>
      <w:r>
        <w:t>YUAN, Z. et al. Evaluating and Improving ChatGPT for Unit Test Generation. Proceedings of the ACM on Software Engineering, v. 1, n. FSE, 2024. DOI: 10.1145/3660783.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Síntese Epistemológica (Registro Final)</w:t>
      </w:r>
    </w:p>
    <w:p>
      <w:r>
        <w:rPr>
          <w:b/>
        </w:rPr>
        <w:t>a) Diferença operacional entre "saber o nome do que produzi" (Sprint 6) e "saber o nível de maturidade do que produzi" (Sprint 7):</w:t>
        <w:br/>
      </w:r>
      <w:r>
        <w:t>Saber o nome do que produzi (Sprint 6) é um exercício léxico e de classificação taxonômica básica sob a CTFL do BSTQB. Saber o nível de maturidade (Sprint 7) é um diagnóstico sistêmico e quantitativo que confronta o processo como um todo frente a falhas (mutantes sobreviventes), eficácia de equipe (DORA) e conformidade setorial real (TMMi), transformando o teste em ferramenta de gestão de riscos e governança.</w:t>
      </w:r>
    </w:p>
    <w:p>
      <w:r>
        <w:rPr>
          <w:b/>
        </w:rPr>
        <w:t>b) Que número DORA mais lhe surpreendeu ao calcular sobre os seus dados, e por quê?</w:t>
        <w:br/>
      </w:r>
      <w:r>
        <w:t>O Mean Time to Recovery (MTTR) de apenas 40 minutos. Surpreendeu-me ver como a aplicação estrita de técnicas de ciclo de vida e independência com fixtures do pytest permite isolar e restaurar a estabilidade do código de forma quase instantânea se comparado a ambientes industriais lentos, evidenciando o poder de ferramentas locais de desenvolvimento para feedbacks velozes.</w:t>
      </w:r>
    </w:p>
    <w:p>
      <w:r>
        <w:rPr>
          <w:b/>
        </w:rPr>
        <w:t>c) Em uma frase, qual é a sua tese para o position paper — antes mesmo de escrevê-lo?</w:t>
        <w:br/>
      </w:r>
      <w:r>
        <w:t>A cobertura de código convencional tornou-se uma métrica ineficaz na era da geração automática de testes por modelos de linguagem, tornando obrigatória a inclusão do Mutation Score como critério essencial de maturidade no TMMi e DORA.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