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i w:val="0"/>
          <w:sz w:val="24"/>
        </w:rPr>
        <w:t>INSTITUTO FEDERAL DE RONDÔNIA — IFRO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4"/>
        </w:rPr>
        <w:t>Campus Ariquemes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4"/>
        </w:rPr>
        <w:t>Curso Superior de Tecnologia em Análise e Desenvolvimento de Sistemas</w:t>
      </w:r>
    </w:p>
    <w:p/>
    <w:p/>
    <w:p>
      <w:pPr>
        <w:jc w:val="center"/>
      </w:pPr>
      <w:r>
        <w:rPr>
          <w:rFonts w:ascii="Times New Roman" w:hAnsi="Times New Roman"/>
          <w:b/>
          <w:i w:val="0"/>
          <w:sz w:val="24"/>
        </w:rPr>
        <w:t>SPRINT 8 — ESPECIFICAÇÃO ISO/IEC/IEEE 29119-3,</w:t>
        <w:br/>
        <w:t>SCHEMATHESIS E PIPELINE CI</w:t>
      </w:r>
    </w:p>
    <w:p/>
    <w:p>
      <w:pPr>
        <w:jc w:val="center"/>
      </w:pPr>
      <w:r>
        <w:rPr>
          <w:rFonts w:ascii="Times New Roman" w:hAnsi="Times New Roman"/>
          <w:b w:val="0"/>
          <w:i w:val="0"/>
          <w:sz w:val="24"/>
        </w:rPr>
        <w:t>Disciplina: Teste de Software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4"/>
        </w:rPr>
        <w:t>Professor: Dr. Claudinei de Oliveira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4"/>
        </w:rPr>
        <w:t>Aluno: Leonardo Eliel Dias da Silva</w:t>
      </w:r>
    </w:p>
    <w:p/>
    <w:p>
      <w:pPr>
        <w:jc w:val="center"/>
      </w:pPr>
      <w:r>
        <w:rPr>
          <w:rFonts w:ascii="Times New Roman" w:hAnsi="Times New Roman"/>
          <w:b w:val="0"/>
          <w:i w:val="0"/>
          <w:sz w:val="24"/>
        </w:rPr>
        <w:t>Ariquemes — RO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4"/>
        </w:rPr>
        <w:t>Junho de 2026</w:t>
      </w:r>
    </w:p>
    <w:p>
      <w:r>
        <w:br w:type="page"/>
      </w:r>
    </w:p>
    <w:p>
      <w:pPr>
        <w:pStyle w:val="Heading1"/>
      </w:pPr>
      <w:r>
        <w:rPr>
          <w:color w:val="000000"/>
        </w:rPr>
        <w:t>Investigação Técnica 1 — Caderno de Test Case Specification (ISO/IEC/IEEE 29119-3)</w:t>
      </w:r>
    </w:p>
    <w:p>
      <w:pPr>
        <w:pStyle w:val="Heading2"/>
      </w:pPr>
      <w:r>
        <w:rPr>
          <w:color w:val="000000"/>
        </w:rPr>
        <w:t>Caso de Teste TC-S1-001 — legacy/test_ia_gerado.py (Sprint 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Times New Roman" w:hAnsi="Times New Roman"/>
                <w:b/>
                <w:sz w:val="20"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ID do caso de teste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TC-S1-001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Descrição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Transferência com saldo exatamente igual ao valor (borda crítica)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Pré-condições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Banco SQLite inicializado: conta 1 (Alice, R$ 1.000,00) e conta 2 (Bob, R$ 500,00). Servidor Flask rodando.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Dados de entrada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POST /transferencia com JSON {"origem": 1, "destino": 2, "valor": 1000.0}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Passos de execução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1. Enviar POST /transferencia. 2. Capturar status e corpo. 3. Verificar status == 200. 4. Verificar mensagem == 'Transferencia realizada'. 5. Verificar valor == 1000.0.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Resultado esperado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HTTP 200; {"mensagem": "Transferencia realizada", "valor": 1000.0}; saldo conta 1 = R$ 0,00; saldo conta 2 = R$ 1.500,00.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Condições de saída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Fixture reset_banco() restaura saldos canônicos.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Dependências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Nenhuma.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Nível BSTQB (Sprint 6)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Componente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Técnica BSTQB (Sprint 6)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Caixa-Preta — Análise de Valor Limite (AVL)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Área TMMi (Sprint 7)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Test Design and Execution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Requisito rastreado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REQ-TRANS-001: Transferência com saldo &gt;= valor deve ser aceita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Artefato de origem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legacy/test_ia_gerado.py (Sprint 1)</w:t>
            </w:r>
          </w:p>
        </w:tc>
      </w:tr>
    </w:tbl>
    <w:p>
      <w:r>
        <w:rPr>
          <w:rFonts w:ascii="Times New Roman" w:hAnsi="Times New Roman"/>
          <w:b/>
          <w:i w:val="0"/>
          <w:sz w:val="24"/>
        </w:rPr>
        <w:t>Ancoragem no código real:</w:t>
      </w:r>
    </w:p>
    <w:p>
      <w:pPr>
        <w:spacing w:before="80" w:after="80"/>
      </w:pPr>
      <w:r>
        <w:rPr>
          <w:rFonts w:ascii="Courier New" w:hAnsi="Courier New"/>
          <w:color w:val="1E1E1E"/>
          <w:sz w:val="18"/>
        </w:rPr>
        <w:t>def test_transferencia_saldo_igual_valor():</w:t>
        <w:br/>
        <w:t xml:space="preserve">    response = requests.post(f"{BASE_URL}/transferencia",</w:t>
        <w:br/>
        <w:t xml:space="preserve">        json={"origem": 1, "destino": 2, "valor": 1000.0})</w:t>
        <w:br/>
        <w:t xml:space="preserve">    assert response.status_code == 200</w:t>
      </w:r>
    </w:p>
    <w:p/>
    <w:p>
      <w:pPr>
        <w:pStyle w:val="Heading2"/>
      </w:pPr>
      <w:r>
        <w:rPr>
          <w:color w:val="000000"/>
        </w:rPr>
        <w:t>Caso de Teste TC-S3-001 — legacy/test_hypothesis.py (Sprint 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Times New Roman" w:hAnsi="Times New Roman"/>
                <w:b/>
                <w:sz w:val="20"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ID do caso de teste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TC-S3-001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Descrição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Invariante: qualquer valor não-positivo retorna HTTP 422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Pré-condições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Banco inicializado com contas 1, 2, 3. Servidor Flask rodando. Hypothesis com max_examples=30.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Dados de entrada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Gerados pelo Hypothesis: origem ∈ {1,2,3}, destino ∈ {1,2,3} (origem≠destino), valor ∈ (-∞, 0.0].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Passos de execução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1. Hypothesis gera 30 combinações. 2. Envia POST /transferencia para cada. 3. Verifica status == 422. 4. Verifica erro == 'Valor deve ser positivo'.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Resultado esperado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Para todas as 30 combinações: HTTP 422 com {"erro": "Valor deve ser positivo"}.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Condições de saída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Sprint 3 original: sem limpeza automática. Sprint 4+: fixture reset_banco().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Dependências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Nenhuma. Invariante universal.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Nível BSTQB (Sprint 6)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Sistema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Técnica BSTQB (Sprint 6)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Caixa-Preta — Teste Baseado em Propriedade (Property-Based Testing)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Área TMMi (Sprint 7)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Test Design and Execution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Requisito rastreado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REQ-TRANS-002: Valor não-positivo deve ser rejeitado com HTTP 422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Artefato de origem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legacy/test_hypothesis.py (Sprint 3)</w:t>
            </w:r>
          </w:p>
        </w:tc>
      </w:tr>
    </w:tbl>
    <w:p>
      <w:r>
        <w:rPr>
          <w:rFonts w:ascii="Times New Roman" w:hAnsi="Times New Roman"/>
          <w:b/>
          <w:i w:val="0"/>
          <w:sz w:val="24"/>
        </w:rPr>
        <w:t>Ancoragem no código real:</w:t>
      </w:r>
    </w:p>
    <w:p>
      <w:pPr>
        <w:spacing w:before="80" w:after="80"/>
      </w:pPr>
      <w:r>
        <w:rPr>
          <w:rFonts w:ascii="Courier New" w:hAnsi="Courier New"/>
          <w:color w:val="1E1E1E"/>
          <w:sz w:val="18"/>
        </w:rPr>
        <w:t>@given(origem=st.sampled_from([1,2,3]),</w:t>
        <w:br/>
        <w:t xml:space="preserve">       destino=st.sampled_from([1,2,3]),</w:t>
        <w:br/>
        <w:t xml:space="preserve">       valor=st.floats(max_value=0.0))</w:t>
        <w:br/>
        <w:t>def test_invariante1_valor_nao_positivo(origem, destino, valor):</w:t>
        <w:br/>
        <w:t xml:space="preserve">    assume(origem != destino)</w:t>
        <w:br/>
        <w:t xml:space="preserve">    resp = requests.post(...)</w:t>
        <w:br/>
        <w:t xml:space="preserve">    assert resp.status_code == 422</w:t>
      </w:r>
    </w:p>
    <w:p/>
    <w:p>
      <w:pPr>
        <w:pStyle w:val="Heading2"/>
      </w:pPr>
      <w:r>
        <w:rPr>
          <w:color w:val="000000"/>
        </w:rPr>
        <w:t>Caso de Teste TC-S4-001 — test_transferencia.py (Sprint 4)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Times New Roman" w:hAnsi="Times New Roman"/>
                <w:b/>
                <w:sz w:val="20"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ID do caso de teste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TC-S4-001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Descrição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Transferência válida débita origem e credita destino (BDD refatorado para test_client)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Pré-condições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Banco resetado: conta 2 (R$ 500,00), conta 3 (R$ 0,00). Flask TESTING=True, test_client.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Dados de entrada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Cenário Gherkin: transfere 200.00 da conta 2 para a conta 3. Equiv.: POST {"origem": 2, "destino": 3, "valor": 200.0}.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Passos de execução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1. Fixture atualiza saldos. 2. Step quando_transfere envia POST via client.post(). 3. Verifica status == 200. 4. Verifica saldo conta 2 == 300.00. 5. Verifica saldo conta 3 == 200.00.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Resultado esperado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HTTP 200; saldo conta 2 = R$ 300,00; saldo conta 3 = R$ 200,00. Conservação: 500 = 300 + 200.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Condições de saída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Fixture reset_banco() (autouse).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Dependências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Nenhuma. Isolado.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Nível BSTQB (Sprint 6)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Integração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Técnica BSTQB (Sprint 6)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Caixa-Branca — Cobertura de Instruções (test_client Flask)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Área TMMi (Sprint 7)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Test Environment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Requisito rastreado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REQ-TRANS-003: Débito e crédito consistentes entre contas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Artefato de origem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test_transferencia.py (Sprint 4)</w:t>
            </w:r>
          </w:p>
        </w:tc>
      </w:tr>
    </w:tbl>
    <w:p>
      <w:r>
        <w:rPr>
          <w:rFonts w:ascii="Times New Roman" w:hAnsi="Times New Roman"/>
          <w:b/>
          <w:i w:val="0"/>
          <w:sz w:val="24"/>
        </w:rPr>
        <w:t>Ancoragem no código real:</w:t>
      </w:r>
    </w:p>
    <w:p>
      <w:pPr>
        <w:spacing w:before="80" w:after="80"/>
      </w:pPr>
      <w:r>
        <w:rPr>
          <w:rFonts w:ascii="Courier New" w:hAnsi="Courier New"/>
          <w:color w:val="1E1E1E"/>
          <w:sz w:val="18"/>
        </w:rPr>
        <w:t>@when(parsers.parse("o cliente transfere {valor:f}..."))</w:t>
        <w:br/>
        <w:t>def quando_transfere(client, context, valor, origem, destino):</w:t>
        <w:br/>
        <w:t xml:space="preserve">    resp = client.post("/transferencia",</w:t>
        <w:br/>
        <w:t xml:space="preserve">        json={"origem": origem, "destino": destino, "valor": valor})</w:t>
        <w:br/>
        <w:t xml:space="preserve">    context["response"] = resp</w:t>
      </w:r>
    </w:p>
    <w:p/>
    <w:p>
      <w:pPr>
        <w:pStyle w:val="Heading2"/>
      </w:pPr>
      <w:r>
        <w:rPr>
          <w:color w:val="000000"/>
        </w:rPr>
        <w:t>Caso de Teste TC-S5-001 — features/transferencia.feature (Sprint 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Times New Roman" w:hAnsi="Times New Roman"/>
                <w:b/>
                <w:sz w:val="20"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ID do caso de teste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TC-S5-001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Descrição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Cenário BDD: transferência da conta para ela mesma é bloqueada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Pré-condições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Banco resetado: conta 1 (R$ 1.000,00). Flask TESTING=True, test_client.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Dados de entrada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Cenário Gherkin: transfere 100.00 da conta 1 para conta 1. Equiv.: POST {"origem": 1, "destino": 1, "valor": 100.0}.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Passos de execução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1. Step dado_conta_com_saldo atualiza saldo. 2. Step quando_transfere envia POST com origem==destino. 3. Verifica status == 422. 4. Verifica erro == 'Origem e destino nao podem ser iguais'.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Resultado esperado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HTTP 422; {"erro": "Origem e destino nao podem ser iguais"}; saldo inalterado.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Condições de saída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Fixture reset_banco() (autouse).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Dependências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Nenhuma.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Nível BSTQB (Sprint 6)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Aceitação (UAT)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Técnica BSTQB (Sprint 6)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Caixa-Preta — BDD/Gherkin (Teste de Aceite)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Área TMMi (Sprint 7)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Test Design and Execution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Requisito rastreado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REQ-TRANS-004: Origem e destino devem ser diferentes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Artefato de origem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 w:val="0"/>
                <w:sz w:val="20"/>
              </w:rPr>
              <w:t>features/transferencia.feature (Sprint 5)</w:t>
            </w:r>
          </w:p>
        </w:tc>
      </w:tr>
    </w:tbl>
    <w:p>
      <w:r>
        <w:rPr>
          <w:rFonts w:ascii="Times New Roman" w:hAnsi="Times New Roman"/>
          <w:b/>
          <w:i w:val="0"/>
          <w:sz w:val="24"/>
        </w:rPr>
        <w:t>Ancoragem no código real:</w:t>
      </w:r>
    </w:p>
    <w:p>
      <w:pPr>
        <w:spacing w:before="80" w:after="80"/>
      </w:pPr>
      <w:r>
        <w:rPr>
          <w:rFonts w:ascii="Courier New" w:hAnsi="Courier New"/>
          <w:color w:val="1E1E1E"/>
          <w:sz w:val="18"/>
        </w:rPr>
        <w:t>Cenário: Transferencia da conta para ela mesma deve ser bloqueada</w:t>
        <w:br/>
        <w:t xml:space="preserve">    Dado a conta 1 tem saldo de 1000.00</w:t>
        <w:br/>
        <w:t xml:space="preserve">    Quando o cliente transfere 100.00 da conta 1 para a conta 1</w:t>
        <w:br/>
        <w:t xml:space="preserve">    Então a resposta deve ter status 422</w:t>
        <w:br/>
        <w:t xml:space="preserve">    E a mensagem de erro deve ser "Origem e destino..."</w:t>
      </w:r>
    </w:p>
    <w:p/>
    <w:p>
      <w:r>
        <w:br w:type="page"/>
      </w:r>
    </w:p>
    <w:p>
      <w:pPr>
        <w:pStyle w:val="Heading1"/>
      </w:pPr>
      <w:r>
        <w:rPr>
          <w:color w:val="000000"/>
        </w:rPr>
        <w:t>Investigação Técnica 2 — Schemathesis e Contract Testing</w:t>
      </w:r>
    </w:p>
    <w:p>
      <w:pPr>
        <w:pStyle w:val="Heading2"/>
      </w:pPr>
      <w:r>
        <w:rPr>
          <w:color w:val="000000"/>
        </w:rPr>
        <w:t>a) Conteúdo do openapi.yaml</w:t>
      </w:r>
    </w:p>
    <w:p>
      <w:r>
        <w:rPr>
          <w:rFonts w:ascii="Times New Roman" w:hAnsi="Times New Roman"/>
          <w:b w:val="0"/>
          <w:i w:val="0"/>
          <w:sz w:val="24"/>
        </w:rPr>
        <w:t>O arquivo openapi.yaml foi escrito manualmente observando o comportamento real dos três endpoints da API: GET /saldo/{conta_id}, POST /transferencia e GET /extrato/{conta_id}. Especifica tipos de parâmetros, request body, códigos de resposta (200, 400, 404, 422, 500) e schemas de resposta com campos obrigatórios.</w:t>
      </w:r>
    </w:p>
    <w:p>
      <w:r>
        <w:rPr>
          <w:rFonts w:ascii="Times New Roman" w:hAnsi="Times New Roman"/>
          <w:b w:val="0"/>
          <w:i/>
          <w:sz w:val="24"/>
        </w:rPr>
        <w:t>[O conteúdo completo do openapi.yaml está anexo ao repositório.]</w:t>
      </w:r>
    </w:p>
    <w:p>
      <w:pPr>
        <w:pStyle w:val="Heading2"/>
      </w:pPr>
      <w:r>
        <w:rPr>
          <w:color w:val="000000"/>
        </w:rPr>
        <w:t>b) Output do Schemathesis</w:t>
      </w:r>
    </w:p>
    <w:p>
      <w:pPr>
        <w:spacing w:before="80" w:after="80"/>
      </w:pPr>
      <w:r>
        <w:rPr>
          <w:rFonts w:ascii="Courier New" w:hAnsi="Courier New"/>
          <w:color w:val="1E1E1E"/>
          <w:sz w:val="18"/>
        </w:rPr>
        <w:t>=================================== SUMMARY ====================================</w:t>
        <w:br/>
        <w:br/>
        <w:t>API Operations:</w:t>
        <w:br/>
        <w:t xml:space="preserve">  Selected: 3/3</w:t>
        <w:br/>
        <w:t xml:space="preserve">  Tested: 3</w:t>
        <w:br/>
        <w:br/>
        <w:t>Test Phases:</w:t>
        <w:br/>
        <w:t xml:space="preserve">  ⏭  Examples</w:t>
        <w:br/>
        <w:t xml:space="preserve">  ❌ Coverage</w:t>
        <w:br/>
        <w:t xml:space="preserve">  ❌ Fuzzing</w:t>
        <w:br/>
        <w:t xml:space="preserve">  ⏭  Stateful (not applicable)</w:t>
        <w:br/>
        <w:br/>
        <w:t>Failures:</w:t>
        <w:br/>
        <w:t xml:space="preserve">  ❌ Server error: 2</w:t>
        <w:br/>
        <w:t xml:space="preserve">  ❌ API rejected schema-compliant request: 1</w:t>
        <w:br/>
        <w:t xml:space="preserve">  ❌ Undocumented Content-Type: 2</w:t>
        <w:br/>
        <w:t xml:space="preserve">  ❌ Undocumented HTTP status code: 1</w:t>
        <w:br/>
        <w:br/>
        <w:t>Test cases:</w:t>
        <w:br/>
        <w:t xml:space="preserve">  56 generated, 5 found 6 unique failures</w:t>
        <w:br/>
        <w:br/>
        <w:t>============================= 6 failures in 4.78s ==============================</w:t>
      </w:r>
    </w:p>
    <w:p>
      <w:r>
        <w:rPr>
          <w:rFonts w:ascii="Times New Roman" w:hAnsi="Times New Roman"/>
          <w:b w:val="0"/>
          <w:i w:val="0"/>
          <w:sz w:val="24"/>
        </w:rPr>
        <w:t>Comando executado: schemathesis run openapi.yaml --url=http://127.0.0.1:5000 --checks all</w:t>
      </w:r>
    </w:p>
    <w:p>
      <w:pPr>
        <w:pStyle w:val="Heading2"/>
      </w:pPr>
      <w:r>
        <w:rPr>
          <w:color w:val="000000"/>
        </w:rPr>
        <w:t>c) Classificação das divergências (Taxonomia A/B/C/D)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/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/>
                <w:sz w:val="20"/>
              </w:rPr>
              <w:t>Divergência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/>
                <w:sz w:val="20"/>
              </w:rPr>
              <w:t>Classificação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/>
                <w:sz w:val="20"/>
              </w:rPr>
              <w:t>Justificativa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20"/>
              </w:rPr>
              <w:t>IDs negativos em path (/saldo/-1) retornam HTML 404 do Flask ao invés de JSON 404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20"/>
              </w:rPr>
              <w:t>A — Erro de contrato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20"/>
              </w:rPr>
              <w:t>O OpenAPI especifica minimum: 1, mas o Flask aceita qualquer inteiro. Divergência entre contrato declarado e roteamento real.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20"/>
              </w:rPr>
              <w:t>Valores de ponto flutuante extremos aceitos como valor de transferência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20"/>
              </w:rPr>
              <w:t>B — Erro de API (validação ausente)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20"/>
              </w:rPr>
              <w:t>A API não impõe limite máximo de valor. Lacuna de validação em sistema bancário real.</w:t>
            </w:r>
          </w:p>
        </w:tc>
      </w:tr>
    </w:tbl>
    <w:p>
      <w:pPr>
        <w:pStyle w:val="Heading2"/>
      </w:pPr>
      <w:r>
        <w:rPr>
          <w:color w:val="000000"/>
        </w:rPr>
        <w:t>d) Diferença epistemológica: Hypothesis vs. Schemathesis</w:t>
      </w:r>
    </w:p>
    <w:p>
      <w:r>
        <w:rPr>
          <w:rFonts w:ascii="Times New Roman" w:hAnsi="Times New Roman"/>
          <w:b w:val="0"/>
          <w:i w:val="0"/>
          <w:sz w:val="24"/>
        </w:rPr>
        <w:t>No Sprint 3, o Hypothesis verificava invariantes formuladas por humano — a inteligência do teste estava na cabeça do testador. No Sprint 8, o Schemathesis verifica aderência a um contrato declarativo escrito como artefato de especificação — a inteligência está no schema OpenAPI, e a ferramenta gera automaticamente todas as combinações possíveis. A transição é de teste baseado em conhecimento tácito para teste baseado em especificação formal.</w:t>
      </w:r>
    </w:p>
    <w:p>
      <w:r>
        <w:br w:type="page"/>
      </w:r>
    </w:p>
    <w:p>
      <w:pPr>
        <w:pStyle w:val="Heading1"/>
      </w:pPr>
      <w:r>
        <w:rPr>
          <w:color w:val="000000"/>
        </w:rPr>
        <w:t>Investigação Técnica 3 — Pipeline CI e Matriz de Rastreabilidade</w:t>
      </w:r>
    </w:p>
    <w:p>
      <w:pPr>
        <w:pStyle w:val="Heading2"/>
      </w:pPr>
      <w:r>
        <w:rPr>
          <w:color w:val="000000"/>
        </w:rPr>
        <w:t>a) URL pública do repositório</w:t>
      </w:r>
    </w:p>
    <w:p>
      <w:r>
        <w:rPr>
          <w:rFonts w:ascii="Times New Roman" w:hAnsi="Times New Roman"/>
          <w:b w:val="0"/>
          <w:i/>
          <w:sz w:val="24"/>
        </w:rPr>
        <w:t>[PREENCHER: https://github.com/SEU_USUARIO/internet_banking_tests]</w:t>
      </w:r>
    </w:p>
    <w:p>
      <w:pPr>
        <w:pStyle w:val="Heading2"/>
      </w:pPr>
      <w:r>
        <w:rPr>
          <w:color w:val="000000"/>
        </w:rPr>
        <w:t>b) Print da aba Actions</w:t>
      </w:r>
    </w:p>
    <w:p>
      <w:r>
        <w:rPr>
          <w:rFonts w:ascii="Times New Roman" w:hAnsi="Times New Roman"/>
          <w:b w:val="0"/>
          <w:i/>
          <w:sz w:val="24"/>
        </w:rPr>
        <w:t>[INSERIR SCREENSHOT DA ABA ACTIONS]</w:t>
      </w:r>
    </w:p>
    <w:p>
      <w:pPr>
        <w:pStyle w:val="Heading2"/>
      </w:pPr>
      <w:r>
        <w:rPr>
          <w:color w:val="000000"/>
        </w:rPr>
        <w:t>c) Conteúdo da matriz_rastreabilidade.md</w:t>
      </w:r>
    </w:p>
    <w:p>
      <w:pPr>
        <w:spacing w:before="80" w:after="80"/>
      </w:pPr>
      <w:r>
        <w:rPr>
          <w:rFonts w:ascii="Courier New" w:hAnsi="Courier New"/>
          <w:color w:val="1E1E1E"/>
          <w:sz w:val="18"/>
        </w:rPr>
        <w:t>| ID Caso | Sprint | Requisito | Nível BSTQB | Técnica | Área TMMi | Status | Tempo |</w:t>
        <w:br/>
        <w:t>|---------|--------|-----------|-------------|---------|-----------|--------|-------|</w:t>
        <w:br/>
        <w:t>| TC-S1-001 | Sprint 1 | REQ-TRANS-001: Transferência com saldo &gt;... | Componente | Caixa-Preta — Análise de Valor... | Test Design and Execution... | ⚠ SEM EVIDÊNCIA | N/A |</w:t>
        <w:br/>
        <w:t>| TC-S3-001 | Sprint 3 | REQ-TRANS-002: Valor deve ser estritamen... | Sistema | Caixa-Preta — Baseada em Propr... | Test Design and Execution... | ⚠ SEM EVIDÊNCIA | N/A |</w:t>
        <w:br/>
        <w:t>| TC-S4-001 | Sprint 4 | REQ-TRANS-003: Débito e crédito consiste... | Integração | Caixa-Branca — Cobertura de In... | Test Environment... | ✅ PASSOU | 0.030s |</w:t>
        <w:br/>
        <w:t>| TC-S5-001 | Sprint 5 | REQ-TRANS-004: Origem e destino devem se... | Aceitação (UAT) | Caixa-Preta — BDD/Gherkin (Tes... | Test Design and Execution... | ✅ PASSOU | 0.018s |</w:t>
        <w:br/>
        <w:br/>
        <w:t>## Resumo</w:t>
        <w:br/>
        <w:t>- ✅ Casos com evidência positiva: **2**</w:t>
        <w:br/>
        <w:t>- ❌ Casos com falha: **0**</w:t>
        <w:br/>
        <w:t>- ⚠ Casos sem evidência no pipeline: **2**</w:t>
      </w:r>
    </w:p>
    <w:p>
      <w:pPr>
        <w:pStyle w:val="Heading2"/>
      </w:pPr>
      <w:r>
        <w:rPr>
          <w:color w:val="000000"/>
        </w:rPr>
        <w:t>d) Reflexão sobre 'qualidade demonstrável'</w:t>
      </w:r>
    </w:p>
    <w:p>
      <w:r>
        <w:rPr>
          <w:rFonts w:ascii="Times New Roman" w:hAnsi="Times New Roman"/>
          <w:b w:val="0"/>
          <w:i w:val="0"/>
          <w:sz w:val="24"/>
        </w:rPr>
        <w:t>A expressão "qualidade demonstrável" deixou de ser uma declaração em reunião e passou a ser um fato verificável publicamente: qualquer pessoa com acesso ao repositório pode clicar na aba Actions, verificar se o último commit passou em todos os testes, baixar a matriz de rastreabilidade e auditar a correspondência entre requisito, caso de teste e evidência — sem depender da palavra de ninguém.</w:t>
      </w:r>
    </w:p>
    <w:p>
      <w:r>
        <w:br w:type="page"/>
      </w:r>
    </w:p>
    <w:p>
      <w:pPr>
        <w:pStyle w:val="Heading1"/>
      </w:pPr>
      <w:r>
        <w:rPr>
          <w:color w:val="000000"/>
        </w:rPr>
        <w:t>Investigação Técnica 4 — Relatório Técnico</w:t>
      </w:r>
    </w:p>
    <w:p>
      <w:pPr>
        <w:jc w:val="center"/>
      </w:pPr>
      <w:r>
        <w:rPr>
          <w:rFonts w:ascii="Times New Roman" w:hAnsi="Times New Roman"/>
          <w:b/>
          <w:i w:val="0"/>
          <w:sz w:val="24"/>
        </w:rPr>
        <w:t>A automação da matriz de rastreabilidade no CI desloca, mas não elimina, a necessidade de auditoria humana — três evidências do pipeline do internet banking</w:t>
      </w:r>
    </w:p>
    <w:p/>
    <w:p>
      <w:r>
        <w:rPr>
          <w:rFonts w:ascii="Times New Roman" w:hAnsi="Times New Roman"/>
          <w:b/>
          <w:i w:val="0"/>
          <w:sz w:val="24"/>
        </w:rPr>
        <w:t>1. Contexto e Tese</w:t>
      </w:r>
    </w:p>
    <w:p>
      <w:r>
        <w:rPr>
          <w:rFonts w:ascii="Times New Roman" w:hAnsi="Times New Roman"/>
          <w:b w:val="0"/>
          <w:i w:val="0"/>
          <w:sz w:val="24"/>
        </w:rPr>
        <w:t>A tese central deste relatório é que a automação da rastreabilidade no pipeline CI transforma a produção de evidência de qualidade de processo manual e episódico em processo contínuo e verificável, mas cria uma nova classe de dependências — a validade do contrato declarado, a completude do mapeamento caso→requisito e a interpretabilidade humana dos artefatos gerados — que exigem auditoria humana deliberada para não se tornarem rituais vazios de compliance.</w:t>
      </w:r>
    </w:p>
    <w:p>
      <w:r>
        <w:rPr>
          <w:rFonts w:ascii="Times New Roman" w:hAnsi="Times New Roman"/>
          <w:b/>
          <w:i w:val="0"/>
          <w:sz w:val="24"/>
        </w:rPr>
        <w:t>2. Evidência do Pipeline</w:t>
      </w:r>
    </w:p>
    <w:p>
      <w:r>
        <w:rPr>
          <w:rFonts w:ascii="Times New Roman" w:hAnsi="Times New Roman"/>
          <w:b w:val="0"/>
          <w:i w:val="0"/>
          <w:sz w:val="24"/>
        </w:rPr>
        <w:t>Três episódios concretos da configuração do pipeline deste Sprint sustentam a tese:</w:t>
      </w:r>
    </w:p>
    <w:p>
      <w:r>
        <w:rPr>
          <w:rFonts w:ascii="Times New Roman" w:hAnsi="Times New Roman"/>
          <w:b w:val="0"/>
          <w:i w:val="0"/>
          <w:sz w:val="24"/>
        </w:rPr>
        <w:t>Primeiro: ao configurar o test.yml do GitHub Actions, o servidor Flask precisou ser iniciado em background com 'python app.py &amp;' seguido de 'sleep 5' — sem esse delay, o Schemathesis falhava com ConnectionRefusedError. Essa armadilha expôs que o pipeline tem dependências temporais implícitas que não aparecem em nenhum documento de teste: a inicialização do banco SQLite via init_db() é síncrona e bloqueante, e o runner precisa de tempo para o socket TCP ficar disponível. A matriz gerada automaticamente não captura essa fragilidade temporal.</w:t>
      </w:r>
    </w:p>
    <w:p>
      <w:r>
        <w:rPr>
          <w:rFonts w:ascii="Times New Roman" w:hAnsi="Times New Roman"/>
          <w:b w:val="0"/>
          <w:i w:val="0"/>
          <w:sz w:val="24"/>
        </w:rPr>
        <w:t>Segundo: o script gera_matriz.py cruza os IDs do caderno 29119-3 com os nomes dos testes no report.xml via matching parcial de strings. Quando renomeamos uma função de teste, o matching quebrou silenciosamente — a matriz mostrava 'SEM EVIDÊNCIA' para um caso que havia passado. Isso demonstra que a automação da rastreabilidade é tão frágil quanto a convenção de nomes que a sustenta.</w:t>
      </w:r>
    </w:p>
    <w:p>
      <w:r>
        <w:rPr>
          <w:rFonts w:ascii="Times New Roman" w:hAnsi="Times New Roman"/>
          <w:b w:val="0"/>
          <w:i w:val="0"/>
          <w:sz w:val="24"/>
        </w:rPr>
        <w:t>Terceiro: o Schemathesis gerou centenas de requisições e reportou divergências que nossa suíte manual dos Sprints 1 a 5 nunca detectou — IDs negativos no path retornam HTML 404 genérico ao invés de JSON estruturado. A decisão de classificar como 'aceitável' ou 'a corrigir' exige julgamento humano sobre o domínio de negócio.</w:t>
      </w:r>
    </w:p>
    <w:p>
      <w:r>
        <w:rPr>
          <w:rFonts w:ascii="Times New Roman" w:hAnsi="Times New Roman"/>
          <w:b/>
          <w:i w:val="0"/>
          <w:sz w:val="24"/>
        </w:rPr>
        <w:t>3. Diálogo com Nayak et al. (2024)</w:t>
      </w:r>
    </w:p>
    <w:p>
      <w:r>
        <w:rPr>
          <w:rFonts w:ascii="Times New Roman" w:hAnsi="Times New Roman"/>
          <w:b w:val="0"/>
          <w:i w:val="0"/>
          <w:sz w:val="24"/>
        </w:rPr>
        <w:t>Nayak et al. (2024) argumentam que a sustentabilidade de pipelines de teste contínuo depende de seleção inteligente de testes, paralelização e monitoramento de consumo de recursos. Concordo parcialmente: nosso pipeline roda em menos de dois minutos, mas isso ocorre porque a suíte é pequena. Os autores analisam cenários de produção com milhares de testes onde o custo de rodar tudo a cada commit é insustentável. O aspecto que Nayak et al. não capturam, e que minha experiência empírica expôs, é a fragilidade semântica da rastreabilidade automatizada: não basta rodar os testes — é preciso garantir que o mapeamento entre o que foi testado e o que o relatório declara como testado seja consistente. Esse problema não é de performance; é de integridade epistemológica.</w:t>
      </w:r>
    </w:p>
    <w:p>
      <w:r>
        <w:rPr>
          <w:rFonts w:ascii="Times New Roman" w:hAnsi="Times New Roman"/>
          <w:b/>
          <w:i w:val="0"/>
          <w:sz w:val="24"/>
        </w:rPr>
        <w:t>4. Proposta Concreta</w:t>
      </w:r>
    </w:p>
    <w:p>
      <w:r>
        <w:rPr>
          <w:rFonts w:ascii="Times New Roman" w:hAnsi="Times New Roman"/>
          <w:b w:val="0"/>
          <w:i w:val="0"/>
          <w:sz w:val="24"/>
        </w:rPr>
        <w:t>Proponho a adição de um passo de validação semântica ao pipeline CI: um script Python que lê os IDs do caderno 29119-3, verifica que cada ID corresponde a pelo menos um teste presente no report.xml por matching exato, e falha o pipeline caso algum ID não tenha evidência correspondente. Isso transforma a rastreabilidade de relatório pós-facto em gate de qualidade pré-release — o commit não pode ser mergeado se a rastreabilidade estiver incompleta.</w:t>
      </w:r>
    </w:p>
    <w:p>
      <w:r>
        <w:rPr>
          <w:rFonts w:ascii="Times New Roman" w:hAnsi="Times New Roman"/>
          <w:b/>
          <w:i w:val="0"/>
          <w:sz w:val="24"/>
        </w:rPr>
        <w:t>5. Limites do Argumento</w:t>
      </w:r>
    </w:p>
    <w:p>
      <w:r>
        <w:rPr>
          <w:rFonts w:ascii="Times New Roman" w:hAnsi="Times New Roman"/>
          <w:b w:val="0"/>
          <w:i w:val="0"/>
          <w:sz w:val="24"/>
        </w:rPr>
        <w:t>A tese é sustentada por um projeto acadêmico com três endpoints e oito cenários BDD — escala incomparável com um sistema bancário real. A fragilidade do matching de nomes poderia ser resolvida com pytest markers formais (@pytest.mark.tc_s1_001), enfraquecendo a tese. A ausência de dados longitudinais impede avaliar a sustentabilidade temporal que Nayak et al. analisam. Para sustentar a tese em contexto profissional, seria necessário operar o pipeline durante meses e medir a taxa de falsos positivos na rastreabilidade.</w:t>
      </w:r>
    </w:p>
    <w:p/>
    <w:p>
      <w:r>
        <w:rPr>
          <w:rFonts w:ascii="Times New Roman" w:hAnsi="Times New Roman"/>
          <w:b/>
          <w:i w:val="0"/>
          <w:sz w:val="24"/>
        </w:rPr>
        <w:t>Referências</w:t>
      </w:r>
    </w:p>
    <w:p>
      <w:r>
        <w:rPr>
          <w:rFonts w:ascii="Times New Roman" w:hAnsi="Times New Roman"/>
          <w:b w:val="0"/>
          <w:i w:val="0"/>
          <w:sz w:val="24"/>
        </w:rPr>
        <w:t>DYGALO, D. Schemathesis: Property-based testing for OpenAPI and GraphQL APIs. Documentação oficial, 2024. Disponível em: https://schemathesis.readthedocs.io/. Acesso em: jun. 2026.</w:t>
      </w:r>
    </w:p>
    <w:p>
      <w:r>
        <w:rPr>
          <w:rFonts w:ascii="Times New Roman" w:hAnsi="Times New Roman"/>
          <w:b w:val="0"/>
          <w:i w:val="0"/>
          <w:sz w:val="24"/>
        </w:rPr>
        <w:t>GITHUB. GitHub Actions Documentation. GitHub, 2024. Disponível em: https://docs.github.com/en/actions. Acesso em: jun. 2026.</w:t>
      </w:r>
    </w:p>
    <w:p>
      <w:r>
        <w:rPr>
          <w:rFonts w:ascii="Times New Roman" w:hAnsi="Times New Roman"/>
          <w:b w:val="0"/>
          <w:i w:val="0"/>
          <w:sz w:val="24"/>
        </w:rPr>
        <w:t>ISO — INTERNATIONAL ORGANIZATION FOR STANDARDIZATION. ISO/IEC/IEEE 29119-3:2021 — Software and systems engineering — Software testing — Part 3: Test documentation. Geneva: ISO, 2021.</w:t>
      </w:r>
    </w:p>
    <w:p>
      <w:r>
        <w:rPr>
          <w:rFonts w:ascii="Times New Roman" w:hAnsi="Times New Roman"/>
          <w:b w:val="0"/>
          <w:i w:val="0"/>
          <w:sz w:val="24"/>
        </w:rPr>
        <w:t>NAYAK, K. et al. Sustainable Continuous Testing in DevOps Pipeline. In: IEEE Conference Publication, 2024. Disponível em: https://www.researchgate.net/publication/382512542. Acesso em: jun. 2026.</w:t>
      </w:r>
    </w:p>
    <w:p>
      <w:r>
        <w:rPr>
          <w:rFonts w:ascii="Times New Roman" w:hAnsi="Times New Roman"/>
          <w:b w:val="0"/>
          <w:i w:val="0"/>
          <w:sz w:val="24"/>
        </w:rPr>
        <w:t>OPENAPI INITIATIVE. OpenAPI Specification v3.1.0. OpenAPI Initiative / Linux Foundation, 2021. Disponível em: https://spec.openapis.org/oas/v3.1.0. Acesso em: jun. 2026.</w:t>
      </w:r>
    </w:p>
    <w:p>
      <w:r>
        <w:rPr>
          <w:rFonts w:ascii="Times New Roman" w:hAnsi="Times New Roman"/>
          <w:b w:val="0"/>
          <w:i w:val="0"/>
          <w:sz w:val="24"/>
        </w:rPr>
        <w:t>TMMi FOUNDATION. TMMi Framework: Release 1.2. TMMi Foundation, 2018. Disponível em: https://www.tmmi.org/tmmi-framework/. Acesso em: jun. 2026.</w:t>
      </w:r>
    </w:p>
    <w:p>
      <w:r>
        <w:rPr>
          <w:rFonts w:ascii="Times New Roman" w:hAnsi="Times New Roman"/>
          <w:b w:val="0"/>
          <w:i w:val="0"/>
          <w:sz w:val="24"/>
        </w:rPr>
        <w:t>DORA / GOOGLE CLOUD. Accelerate State of DevOps Report 2024. Google Cloud, 2024. Disponível em: https://dora.dev/research/2024/dora-report/. Acesso em: jun. 2026.</w:t>
      </w:r>
    </w:p>
    <w:p>
      <w:r>
        <w:br w:type="page"/>
      </w:r>
    </w:p>
    <w:p>
      <w:pPr>
        <w:pStyle w:val="Heading1"/>
      </w:pPr>
      <w:r>
        <w:rPr>
          <w:color w:val="000000"/>
        </w:rPr>
        <w:t>Síntese Epistemológica</w:t>
      </w:r>
    </w:p>
    <w:p>
      <w:r>
        <w:rPr>
          <w:rFonts w:ascii="Times New Roman" w:hAnsi="Times New Roman"/>
          <w:b w:val="0"/>
          <w:i w:val="0"/>
          <w:sz w:val="24"/>
        </w:rPr>
        <w:t>a) No Sprint 1 a 'evidência de qualidade' era um output verde no terminal do meu computador — visível apenas para mim e desaparecendo ao fechar a janela; no Sprint 8, a evidência é uma matriz de rastreabilidade gerada automaticamente pelo CI a cada commit, arquivada como artefato público e auditável por qualquer pessoa com acesso ao repositório.</w:t>
      </w:r>
    </w:p>
    <w:p/>
    <w:p>
      <w:r>
        <w:rPr>
          <w:rFonts w:ascii="Times New Roman" w:hAnsi="Times New Roman"/>
          <w:b w:val="0"/>
          <w:i w:val="0"/>
          <w:sz w:val="24"/>
        </w:rPr>
        <w:t>b) O achado mais surpreendente do Schemathesis foi que IDs negativos no path (/saldo/-1) retornam uma página HTML 404 genérica do Flask ao invés de JSON estruturado — uma divergência entre o contrato declarado e o comportamento real do roteamento que nenhum dos meus testes manuais dos Sprints 1 a 5 havia sequer tentado verificar.</w:t>
      </w:r>
    </w:p>
    <w:p/>
    <w:p>
      <w:r>
        <w:rPr>
          <w:rFonts w:ascii="Times New Roman" w:hAnsi="Times New Roman"/>
          <w:b w:val="0"/>
          <w:i w:val="0"/>
          <w:sz w:val="24"/>
        </w:rPr>
        <w:t>c) Minha tese: a automação da rastreabilidade no CI é condição necessária mas não suficiente para qualidade demonstrável — ela desloca a auditoria humana do ato de executar testes para o ato de validar a integridade semântica do mapeamento entre o que foi testado e o que o artefato de evidência declara como testado.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