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BEA" w:rsidRPr="00792087" w:rsidRDefault="00044BEA" w:rsidP="00044BEA">
      <w:pPr>
        <w:jc w:val="both"/>
        <w:rPr>
          <w:rFonts w:ascii="Arial" w:hAnsi="Arial" w:cs="Arial"/>
          <w:sz w:val="20"/>
          <w:szCs w:val="20"/>
        </w:rPr>
      </w:pPr>
    </w:p>
    <w:p w:rsidR="00044BEA" w:rsidRPr="00792087" w:rsidRDefault="00044BEA" w:rsidP="00FC00B7">
      <w:pPr>
        <w:jc w:val="both"/>
        <w:rPr>
          <w:rFonts w:ascii="Arial" w:hAnsi="Arial" w:cs="Arial"/>
          <w:b/>
          <w:sz w:val="20"/>
          <w:szCs w:val="20"/>
        </w:rPr>
      </w:pPr>
      <w:r w:rsidRPr="00792087">
        <w:rPr>
          <w:rFonts w:ascii="Arial" w:hAnsi="Arial" w:cs="Arial"/>
          <w:b/>
          <w:sz w:val="20"/>
          <w:szCs w:val="20"/>
        </w:rPr>
        <w:t>Antecedentes y estado del arte</w:t>
      </w:r>
    </w:p>
    <w:p w:rsidR="00FC00B7" w:rsidRPr="00792087" w:rsidRDefault="00FC00B7" w:rsidP="00FC00B7">
      <w:pPr>
        <w:jc w:val="both"/>
        <w:rPr>
          <w:rFonts w:ascii="Arial" w:hAnsi="Arial" w:cs="Arial"/>
          <w:sz w:val="20"/>
          <w:szCs w:val="20"/>
        </w:rPr>
      </w:pPr>
      <w:r w:rsidRPr="00792087">
        <w:rPr>
          <w:rFonts w:ascii="Arial" w:hAnsi="Arial" w:cs="Arial"/>
          <w:sz w:val="20"/>
          <w:szCs w:val="20"/>
        </w:rPr>
        <w:t>En el 2020, el gobierno peruano, mediante el Decreto de Urgencia N° 070-2020</w:t>
      </w:r>
      <w:r w:rsidR="008962AE" w:rsidRPr="00792087">
        <w:rPr>
          <w:rFonts w:ascii="Arial" w:hAnsi="Arial" w:cs="Arial"/>
          <w:sz w:val="20"/>
          <w:szCs w:val="20"/>
        </w:rPr>
        <w:t>,</w:t>
      </w:r>
      <w:r w:rsidRPr="00792087">
        <w:rPr>
          <w:rFonts w:ascii="Arial" w:hAnsi="Arial" w:cs="Arial"/>
          <w:sz w:val="20"/>
          <w:szCs w:val="20"/>
        </w:rPr>
        <w:t xml:space="preserve"> establece medidas extraordinarias para la reactivación económica ante la emergencia sanitaria producida por el COVID 19, en materia de inversiones, gasto corriente y otras actividades para la generación de empleo. </w:t>
      </w:r>
      <w:r w:rsidR="000558E1" w:rsidRPr="00792087">
        <w:rPr>
          <w:rFonts w:ascii="Arial" w:hAnsi="Arial" w:cs="Arial"/>
          <w:sz w:val="20"/>
          <w:szCs w:val="20"/>
        </w:rPr>
        <w:t xml:space="preserve"> </w:t>
      </w:r>
      <w:r w:rsidR="00255DDD">
        <w:rPr>
          <w:rFonts w:ascii="Arial" w:hAnsi="Arial" w:cs="Arial"/>
          <w:sz w:val="20"/>
          <w:szCs w:val="20"/>
        </w:rPr>
        <w:t>Posteriormente</w:t>
      </w:r>
      <w:r w:rsidR="000A101B" w:rsidRPr="00792087">
        <w:rPr>
          <w:rFonts w:ascii="Arial" w:hAnsi="Arial" w:cs="Arial"/>
          <w:sz w:val="20"/>
          <w:szCs w:val="20"/>
        </w:rPr>
        <w:t>,</w:t>
      </w:r>
      <w:r w:rsidR="000558E1" w:rsidRPr="00792087">
        <w:rPr>
          <w:rFonts w:ascii="Arial" w:hAnsi="Arial" w:cs="Arial"/>
          <w:sz w:val="20"/>
          <w:szCs w:val="20"/>
        </w:rPr>
        <w:t xml:space="preserve"> </w:t>
      </w:r>
      <w:r w:rsidR="00255DDD">
        <w:rPr>
          <w:rFonts w:ascii="Arial" w:hAnsi="Arial" w:cs="Arial"/>
          <w:sz w:val="20"/>
          <w:szCs w:val="20"/>
        </w:rPr>
        <w:t xml:space="preserve">se sumaron el </w:t>
      </w:r>
      <w:r w:rsidR="000558E1" w:rsidRPr="00792087">
        <w:rPr>
          <w:rFonts w:ascii="Arial" w:hAnsi="Arial" w:cs="Arial"/>
          <w:sz w:val="20"/>
          <w:szCs w:val="20"/>
        </w:rPr>
        <w:t xml:space="preserve">Decreto de Urgencia N° </w:t>
      </w:r>
      <w:r w:rsidR="000558E1" w:rsidRPr="00792087">
        <w:rPr>
          <w:rFonts w:ascii="Arial" w:hAnsi="Arial" w:cs="Arial"/>
          <w:sz w:val="20"/>
          <w:szCs w:val="20"/>
        </w:rPr>
        <w:t xml:space="preserve">114-2020 y </w:t>
      </w:r>
      <w:r w:rsidR="00255DDD">
        <w:rPr>
          <w:rFonts w:ascii="Arial" w:hAnsi="Arial" w:cs="Arial"/>
          <w:sz w:val="20"/>
          <w:szCs w:val="20"/>
        </w:rPr>
        <w:t xml:space="preserve">el </w:t>
      </w:r>
      <w:r w:rsidR="000558E1" w:rsidRPr="00792087">
        <w:rPr>
          <w:rFonts w:ascii="Arial" w:hAnsi="Arial" w:cs="Arial"/>
          <w:sz w:val="20"/>
          <w:szCs w:val="20"/>
        </w:rPr>
        <w:t>Decreto Supremo N.° 262-2020-EF</w:t>
      </w:r>
      <w:r w:rsidR="000558E1" w:rsidRPr="00792087">
        <w:rPr>
          <w:rFonts w:ascii="Arial" w:hAnsi="Arial" w:cs="Arial"/>
          <w:sz w:val="20"/>
          <w:szCs w:val="20"/>
        </w:rPr>
        <w:t>,</w:t>
      </w:r>
      <w:r w:rsidR="000A101B" w:rsidRPr="00792087">
        <w:rPr>
          <w:rFonts w:ascii="Arial" w:hAnsi="Arial" w:cs="Arial"/>
          <w:sz w:val="20"/>
          <w:szCs w:val="20"/>
        </w:rPr>
        <w:t xml:space="preserve"> </w:t>
      </w:r>
      <w:r w:rsidR="00255DDD">
        <w:rPr>
          <w:rFonts w:ascii="Arial" w:hAnsi="Arial" w:cs="Arial"/>
          <w:sz w:val="20"/>
          <w:szCs w:val="20"/>
        </w:rPr>
        <w:t xml:space="preserve">en los cuales se reafirma </w:t>
      </w:r>
      <w:r w:rsidR="000558E1" w:rsidRPr="00792087">
        <w:rPr>
          <w:rFonts w:ascii="Arial" w:hAnsi="Arial" w:cs="Arial"/>
          <w:sz w:val="20"/>
          <w:szCs w:val="20"/>
        </w:rPr>
        <w:t xml:space="preserve">que </w:t>
      </w:r>
      <w:r w:rsidR="000A101B" w:rsidRPr="00792087">
        <w:rPr>
          <w:rFonts w:ascii="Arial" w:hAnsi="Arial" w:cs="Arial"/>
          <w:sz w:val="20"/>
          <w:szCs w:val="20"/>
        </w:rPr>
        <w:t xml:space="preserve">los </w:t>
      </w:r>
      <w:r w:rsidRPr="00792087">
        <w:rPr>
          <w:rFonts w:ascii="Arial" w:hAnsi="Arial" w:cs="Arial"/>
          <w:sz w:val="20"/>
          <w:szCs w:val="20"/>
        </w:rPr>
        <w:t>gobiernos regionales y locales</w:t>
      </w:r>
      <w:r w:rsidR="00190879" w:rsidRPr="00792087">
        <w:rPr>
          <w:rFonts w:ascii="Arial" w:hAnsi="Arial" w:cs="Arial"/>
          <w:sz w:val="20"/>
          <w:szCs w:val="20"/>
        </w:rPr>
        <w:t xml:space="preserve">, </w:t>
      </w:r>
      <w:r w:rsidRPr="00792087">
        <w:rPr>
          <w:rFonts w:ascii="Arial" w:hAnsi="Arial" w:cs="Arial"/>
          <w:sz w:val="20"/>
          <w:szCs w:val="20"/>
        </w:rPr>
        <w:t xml:space="preserve">en el marco de sus competencias, </w:t>
      </w:r>
      <w:r w:rsidR="00190879" w:rsidRPr="00792087">
        <w:rPr>
          <w:rFonts w:ascii="Arial" w:hAnsi="Arial" w:cs="Arial"/>
          <w:sz w:val="20"/>
          <w:szCs w:val="20"/>
        </w:rPr>
        <w:t xml:space="preserve">implementen </w:t>
      </w:r>
      <w:r w:rsidRPr="00792087">
        <w:rPr>
          <w:rFonts w:ascii="Arial" w:hAnsi="Arial" w:cs="Arial"/>
          <w:sz w:val="20"/>
          <w:szCs w:val="20"/>
        </w:rPr>
        <w:t>la ejecución de acciones oportunas para la reactivación de la actividad económica</w:t>
      </w:r>
      <w:r w:rsidR="00566195" w:rsidRPr="00792087">
        <w:rPr>
          <w:rFonts w:ascii="Arial" w:hAnsi="Arial" w:cs="Arial"/>
          <w:sz w:val="20"/>
          <w:szCs w:val="20"/>
        </w:rPr>
        <w:t>, fomentando el trabajo local a través del empleo de mano de obra especializada y no especializada.</w:t>
      </w:r>
      <w:r w:rsidR="000558E1" w:rsidRPr="00792087">
        <w:rPr>
          <w:rFonts w:ascii="Arial" w:hAnsi="Arial" w:cs="Arial"/>
          <w:sz w:val="20"/>
          <w:szCs w:val="20"/>
        </w:rPr>
        <w:t xml:space="preserve"> </w:t>
      </w:r>
    </w:p>
    <w:p w:rsidR="000A101B" w:rsidRPr="00792087" w:rsidRDefault="00566195" w:rsidP="00E9175A">
      <w:pPr>
        <w:jc w:val="both"/>
        <w:rPr>
          <w:rFonts w:ascii="Arial" w:hAnsi="Arial" w:cs="Arial"/>
          <w:sz w:val="20"/>
          <w:szCs w:val="20"/>
        </w:rPr>
      </w:pPr>
      <w:r w:rsidRPr="00792087">
        <w:rPr>
          <w:rFonts w:ascii="Arial" w:hAnsi="Arial" w:cs="Arial"/>
          <w:sz w:val="20"/>
          <w:szCs w:val="20"/>
        </w:rPr>
        <w:t xml:space="preserve">Con dicho objetivo, se </w:t>
      </w:r>
      <w:r w:rsidR="000A101B" w:rsidRPr="00792087">
        <w:rPr>
          <w:rFonts w:ascii="Arial" w:hAnsi="Arial" w:cs="Arial"/>
          <w:sz w:val="20"/>
          <w:szCs w:val="20"/>
        </w:rPr>
        <w:t>autoriza</w:t>
      </w:r>
      <w:r w:rsidR="00AE67C1">
        <w:rPr>
          <w:rFonts w:ascii="Arial" w:hAnsi="Arial" w:cs="Arial"/>
          <w:sz w:val="20"/>
          <w:szCs w:val="20"/>
        </w:rPr>
        <w:t>ron</w:t>
      </w:r>
      <w:r w:rsidR="000A101B" w:rsidRPr="00792087">
        <w:rPr>
          <w:rFonts w:ascii="Arial" w:hAnsi="Arial" w:cs="Arial"/>
          <w:sz w:val="20"/>
          <w:szCs w:val="20"/>
        </w:rPr>
        <w:t xml:space="preserve"> la transferencia de partidas en el Presupuesto Público para el año fiscal 2020 </w:t>
      </w:r>
      <w:r w:rsidR="000558E1" w:rsidRPr="00792087">
        <w:rPr>
          <w:rFonts w:ascii="Arial" w:hAnsi="Arial" w:cs="Arial"/>
          <w:sz w:val="20"/>
          <w:szCs w:val="20"/>
        </w:rPr>
        <w:t xml:space="preserve">a favor de diversos gobiernos locales para </w:t>
      </w:r>
      <w:r w:rsidR="00E9175A" w:rsidRPr="00792087">
        <w:rPr>
          <w:rFonts w:ascii="Arial" w:hAnsi="Arial" w:cs="Arial"/>
          <w:sz w:val="20"/>
          <w:szCs w:val="20"/>
        </w:rPr>
        <w:t xml:space="preserve">financiar la </w:t>
      </w:r>
      <w:r w:rsidR="00E9175A" w:rsidRPr="00792087">
        <w:rPr>
          <w:rFonts w:ascii="Arial" w:hAnsi="Arial" w:cs="Arial"/>
          <w:sz w:val="20"/>
          <w:szCs w:val="20"/>
        </w:rPr>
        <w:t>ejecución de proyecto</w:t>
      </w:r>
      <w:r w:rsidR="00E9175A" w:rsidRPr="00792087">
        <w:rPr>
          <w:rFonts w:ascii="Arial" w:hAnsi="Arial" w:cs="Arial"/>
          <w:sz w:val="20"/>
          <w:szCs w:val="20"/>
        </w:rPr>
        <w:t xml:space="preserve">s de inversión e Inversiones de </w:t>
      </w:r>
      <w:r w:rsidR="00E9175A" w:rsidRPr="00792087">
        <w:rPr>
          <w:rFonts w:ascii="Arial" w:hAnsi="Arial" w:cs="Arial"/>
          <w:sz w:val="20"/>
          <w:szCs w:val="20"/>
        </w:rPr>
        <w:t>Optimización, de Ampliac</w:t>
      </w:r>
      <w:r w:rsidR="00E9175A" w:rsidRPr="00792087">
        <w:rPr>
          <w:rFonts w:ascii="Arial" w:hAnsi="Arial" w:cs="Arial"/>
          <w:sz w:val="20"/>
          <w:szCs w:val="20"/>
        </w:rPr>
        <w:t xml:space="preserve">ión Marginal, de Rehabilitación </w:t>
      </w:r>
      <w:r w:rsidR="002A7A22" w:rsidRPr="00792087">
        <w:rPr>
          <w:rFonts w:ascii="Arial" w:hAnsi="Arial" w:cs="Arial"/>
          <w:sz w:val="20"/>
          <w:szCs w:val="20"/>
        </w:rPr>
        <w:t xml:space="preserve">y de Reposición </w:t>
      </w:r>
      <w:r w:rsidR="00E9175A" w:rsidRPr="00792087">
        <w:rPr>
          <w:rFonts w:ascii="Arial" w:hAnsi="Arial" w:cs="Arial"/>
          <w:sz w:val="20"/>
          <w:szCs w:val="20"/>
        </w:rPr>
        <w:t>en materia de vías urbanas,</w:t>
      </w:r>
      <w:r w:rsidR="00E9175A" w:rsidRPr="00792087">
        <w:rPr>
          <w:rFonts w:ascii="Arial" w:hAnsi="Arial" w:cs="Arial"/>
          <w:sz w:val="20"/>
          <w:szCs w:val="20"/>
        </w:rPr>
        <w:t xml:space="preserve"> </w:t>
      </w:r>
      <w:r w:rsidR="00E9175A" w:rsidRPr="00792087">
        <w:rPr>
          <w:rFonts w:ascii="Arial" w:hAnsi="Arial" w:cs="Arial"/>
          <w:sz w:val="20"/>
          <w:szCs w:val="20"/>
        </w:rPr>
        <w:t>planeamiento urbano y ru</w:t>
      </w:r>
      <w:r w:rsidR="00E9175A" w:rsidRPr="00792087">
        <w:rPr>
          <w:rFonts w:ascii="Arial" w:hAnsi="Arial" w:cs="Arial"/>
          <w:sz w:val="20"/>
          <w:szCs w:val="20"/>
        </w:rPr>
        <w:t xml:space="preserve">ral y conservación y ampliación </w:t>
      </w:r>
      <w:r w:rsidR="00E9175A" w:rsidRPr="00792087">
        <w:rPr>
          <w:rFonts w:ascii="Arial" w:hAnsi="Arial" w:cs="Arial"/>
          <w:sz w:val="20"/>
          <w:szCs w:val="20"/>
        </w:rPr>
        <w:t>de las áreas verdes y ornato público y saneamiento</w:t>
      </w:r>
      <w:r w:rsidR="00E9175A" w:rsidRPr="00792087">
        <w:rPr>
          <w:rFonts w:ascii="Arial" w:hAnsi="Arial" w:cs="Arial"/>
          <w:sz w:val="20"/>
          <w:szCs w:val="20"/>
        </w:rPr>
        <w:t xml:space="preserve"> </w:t>
      </w:r>
      <w:r w:rsidR="00E9175A" w:rsidRPr="00792087">
        <w:rPr>
          <w:rFonts w:ascii="Arial" w:hAnsi="Arial" w:cs="Arial"/>
          <w:sz w:val="20"/>
          <w:szCs w:val="20"/>
        </w:rPr>
        <w:t>urbano y rural</w:t>
      </w:r>
      <w:r w:rsidR="00E9175A" w:rsidRPr="00792087">
        <w:rPr>
          <w:rFonts w:ascii="Arial" w:hAnsi="Arial" w:cs="Arial"/>
          <w:sz w:val="20"/>
          <w:szCs w:val="20"/>
        </w:rPr>
        <w:t>.</w:t>
      </w:r>
    </w:p>
    <w:p w:rsidR="00854FDF" w:rsidRDefault="006A4676" w:rsidP="00A335A3">
      <w:pPr>
        <w:jc w:val="both"/>
        <w:rPr>
          <w:rFonts w:ascii="Arial" w:hAnsi="Arial" w:cs="Arial"/>
          <w:sz w:val="20"/>
          <w:szCs w:val="20"/>
        </w:rPr>
      </w:pPr>
      <w:r>
        <w:rPr>
          <w:rFonts w:ascii="Arial" w:hAnsi="Arial" w:cs="Arial"/>
          <w:sz w:val="20"/>
          <w:szCs w:val="20"/>
        </w:rPr>
        <w:t>Por otro lado</w:t>
      </w:r>
      <w:r w:rsidR="00AE67C1">
        <w:rPr>
          <w:rFonts w:ascii="Arial" w:hAnsi="Arial" w:cs="Arial"/>
          <w:sz w:val="20"/>
          <w:szCs w:val="20"/>
        </w:rPr>
        <w:t xml:space="preserve">, </w:t>
      </w:r>
      <w:r>
        <w:rPr>
          <w:rFonts w:ascii="Arial" w:hAnsi="Arial" w:cs="Arial"/>
          <w:sz w:val="20"/>
          <w:szCs w:val="20"/>
        </w:rPr>
        <w:t>la inversión pública en América Latina y el Caribe (ALC), ha sido severamente afectada debido a la pandemia ocasionada por el COVID 19</w:t>
      </w:r>
      <w:r w:rsidR="00A335A3">
        <w:rPr>
          <w:rFonts w:ascii="Arial" w:hAnsi="Arial" w:cs="Arial"/>
          <w:sz w:val="20"/>
          <w:szCs w:val="20"/>
        </w:rPr>
        <w:t xml:space="preserve">. El </w:t>
      </w:r>
      <w:r w:rsidR="000C39FD">
        <w:rPr>
          <w:rFonts w:ascii="Arial" w:hAnsi="Arial" w:cs="Arial"/>
          <w:sz w:val="20"/>
          <w:szCs w:val="20"/>
        </w:rPr>
        <w:t xml:space="preserve">nivel promedio de inversión pública </w:t>
      </w:r>
      <w:r w:rsidR="00A335A3">
        <w:rPr>
          <w:rFonts w:ascii="Arial" w:hAnsi="Arial" w:cs="Arial"/>
          <w:sz w:val="20"/>
          <w:szCs w:val="20"/>
        </w:rPr>
        <w:t xml:space="preserve">alcanzó </w:t>
      </w:r>
      <w:r w:rsidR="000C39FD">
        <w:rPr>
          <w:rFonts w:ascii="Arial" w:hAnsi="Arial" w:cs="Arial"/>
          <w:sz w:val="20"/>
          <w:szCs w:val="20"/>
        </w:rPr>
        <w:t>un 3,6% del PBI</w:t>
      </w:r>
      <w:r w:rsidR="00A335A3">
        <w:rPr>
          <w:rFonts w:ascii="Arial" w:hAnsi="Arial" w:cs="Arial"/>
          <w:sz w:val="20"/>
          <w:szCs w:val="20"/>
        </w:rPr>
        <w:t xml:space="preserve">, uno de los más bajos en una década; asimismo el índice de gestión de la inversión pública reporta un 2.5 de 4 puntos posibles, lo que indica una baja eficiencia </w:t>
      </w:r>
      <w:sdt>
        <w:sdtPr>
          <w:rPr>
            <w:rFonts w:ascii="Arial" w:hAnsi="Arial" w:cs="Arial"/>
            <w:color w:val="2F5496" w:themeColor="accent5" w:themeShade="BF"/>
            <w:sz w:val="20"/>
            <w:szCs w:val="20"/>
          </w:rPr>
          <w:id w:val="-166170772"/>
          <w:citation/>
        </w:sdtPr>
        <w:sdtContent>
          <w:r w:rsidR="00A335A3" w:rsidRPr="00A335A3">
            <w:rPr>
              <w:rFonts w:ascii="Arial" w:hAnsi="Arial" w:cs="Arial"/>
              <w:color w:val="2F5496" w:themeColor="accent5" w:themeShade="BF"/>
              <w:sz w:val="20"/>
              <w:szCs w:val="20"/>
            </w:rPr>
            <w:fldChar w:fldCharType="begin"/>
          </w:r>
          <w:r w:rsidR="00A335A3" w:rsidRPr="00A335A3">
            <w:rPr>
              <w:rFonts w:ascii="Arial" w:hAnsi="Arial" w:cs="Arial"/>
              <w:color w:val="2F5496" w:themeColor="accent5" w:themeShade="BF"/>
              <w:sz w:val="20"/>
              <w:szCs w:val="20"/>
            </w:rPr>
            <w:instrText xml:space="preserve"> CITATION Arm20 \l 10250 </w:instrText>
          </w:r>
          <w:r w:rsidR="00A335A3" w:rsidRPr="00A335A3">
            <w:rPr>
              <w:rFonts w:ascii="Arial" w:hAnsi="Arial" w:cs="Arial"/>
              <w:color w:val="2F5496" w:themeColor="accent5" w:themeShade="BF"/>
              <w:sz w:val="20"/>
              <w:szCs w:val="20"/>
            </w:rPr>
            <w:fldChar w:fldCharType="separate"/>
          </w:r>
          <w:r w:rsidR="00A335A3" w:rsidRPr="00A335A3">
            <w:rPr>
              <w:rFonts w:ascii="Arial" w:hAnsi="Arial" w:cs="Arial"/>
              <w:noProof/>
              <w:color w:val="2F5496" w:themeColor="accent5" w:themeShade="BF"/>
              <w:sz w:val="20"/>
              <w:szCs w:val="20"/>
            </w:rPr>
            <w:t>(Armendariz, 2020)</w:t>
          </w:r>
          <w:r w:rsidR="00A335A3" w:rsidRPr="00A335A3">
            <w:rPr>
              <w:rFonts w:ascii="Arial" w:hAnsi="Arial" w:cs="Arial"/>
              <w:color w:val="2F5496" w:themeColor="accent5" w:themeShade="BF"/>
              <w:sz w:val="20"/>
              <w:szCs w:val="20"/>
            </w:rPr>
            <w:fldChar w:fldCharType="end"/>
          </w:r>
        </w:sdtContent>
      </w:sdt>
      <w:r w:rsidR="00A335A3">
        <w:rPr>
          <w:rFonts w:ascii="Arial" w:hAnsi="Arial" w:cs="Arial"/>
          <w:sz w:val="20"/>
          <w:szCs w:val="20"/>
        </w:rPr>
        <w:t xml:space="preserve">. Sumado a lo anterior, </w:t>
      </w:r>
      <w:r w:rsidR="00AE67C1">
        <w:rPr>
          <w:rFonts w:ascii="Arial" w:hAnsi="Arial" w:cs="Arial"/>
          <w:sz w:val="20"/>
          <w:szCs w:val="20"/>
        </w:rPr>
        <w:t xml:space="preserve">según una investigación efectuada por el </w:t>
      </w:r>
      <w:sdt>
        <w:sdtPr>
          <w:rPr>
            <w:rFonts w:ascii="Arial" w:hAnsi="Arial" w:cs="Arial"/>
            <w:color w:val="2F5496" w:themeColor="accent5" w:themeShade="BF"/>
            <w:sz w:val="20"/>
            <w:szCs w:val="20"/>
          </w:rPr>
          <w:id w:val="-1533795629"/>
          <w:citation/>
        </w:sdtPr>
        <w:sdtEndPr>
          <w:rPr>
            <w:color w:val="auto"/>
          </w:rPr>
        </w:sdtEndPr>
        <w:sdtContent>
          <w:r w:rsidR="00AE67C1" w:rsidRPr="00AE67C1">
            <w:rPr>
              <w:rFonts w:ascii="Arial" w:hAnsi="Arial" w:cs="Arial"/>
              <w:color w:val="2F5496" w:themeColor="accent5" w:themeShade="BF"/>
              <w:sz w:val="20"/>
              <w:szCs w:val="20"/>
            </w:rPr>
            <w:fldChar w:fldCharType="begin"/>
          </w:r>
          <w:r w:rsidR="00AE67C1" w:rsidRPr="00AE67C1">
            <w:rPr>
              <w:rFonts w:ascii="Arial" w:hAnsi="Arial" w:cs="Arial"/>
              <w:color w:val="2F5496" w:themeColor="accent5" w:themeShade="BF"/>
              <w:sz w:val="20"/>
              <w:szCs w:val="20"/>
            </w:rPr>
            <w:instrText xml:space="preserve"> CITATION BID20 \l 10250 </w:instrText>
          </w:r>
          <w:r w:rsidR="00AE67C1" w:rsidRPr="00AE67C1">
            <w:rPr>
              <w:rFonts w:ascii="Arial" w:hAnsi="Arial" w:cs="Arial"/>
              <w:color w:val="2F5496" w:themeColor="accent5" w:themeShade="BF"/>
              <w:sz w:val="20"/>
              <w:szCs w:val="20"/>
            </w:rPr>
            <w:fldChar w:fldCharType="separate"/>
          </w:r>
          <w:r w:rsidR="00A335A3" w:rsidRPr="00A335A3">
            <w:rPr>
              <w:rFonts w:ascii="Arial" w:hAnsi="Arial" w:cs="Arial"/>
              <w:noProof/>
              <w:color w:val="2F5496" w:themeColor="accent5" w:themeShade="BF"/>
              <w:sz w:val="20"/>
              <w:szCs w:val="20"/>
            </w:rPr>
            <w:t>(BID, 2020)</w:t>
          </w:r>
          <w:r w:rsidR="00AE67C1" w:rsidRPr="00AE67C1">
            <w:rPr>
              <w:rFonts w:ascii="Arial" w:hAnsi="Arial" w:cs="Arial"/>
              <w:color w:val="2F5496" w:themeColor="accent5" w:themeShade="BF"/>
              <w:sz w:val="20"/>
              <w:szCs w:val="20"/>
            </w:rPr>
            <w:fldChar w:fldCharType="end"/>
          </w:r>
        </w:sdtContent>
      </w:sdt>
      <w:r w:rsidR="00AE67C1">
        <w:rPr>
          <w:rFonts w:ascii="Arial" w:hAnsi="Arial" w:cs="Arial"/>
          <w:sz w:val="20"/>
          <w:szCs w:val="20"/>
        </w:rPr>
        <w:t>, se muestra que el gasto público en la región revela un desperdicio generalizado de hasta 4,4 % del PBI de la región.</w:t>
      </w:r>
      <w:r w:rsidR="00A335A3">
        <w:rPr>
          <w:rFonts w:ascii="Arial" w:hAnsi="Arial" w:cs="Arial"/>
          <w:sz w:val="20"/>
          <w:szCs w:val="20"/>
        </w:rPr>
        <w:t xml:space="preserve"> En </w:t>
      </w:r>
      <w:r w:rsidR="00854FDF">
        <w:rPr>
          <w:rFonts w:ascii="Arial" w:hAnsi="Arial" w:cs="Arial"/>
          <w:sz w:val="20"/>
          <w:szCs w:val="20"/>
        </w:rPr>
        <w:t>ese sentido,</w:t>
      </w:r>
      <w:r w:rsidR="00A335A3">
        <w:rPr>
          <w:rFonts w:ascii="Arial" w:hAnsi="Arial" w:cs="Arial"/>
          <w:sz w:val="20"/>
          <w:szCs w:val="20"/>
        </w:rPr>
        <w:t xml:space="preserve"> resulta necesario que se optimice la inversión pública</w:t>
      </w:r>
      <w:r w:rsidR="00854FDF">
        <w:rPr>
          <w:rFonts w:ascii="Arial" w:hAnsi="Arial" w:cs="Arial"/>
          <w:sz w:val="20"/>
          <w:szCs w:val="20"/>
        </w:rPr>
        <w:t xml:space="preserve"> mediante</w:t>
      </w:r>
      <w:r w:rsidR="00A335A3">
        <w:rPr>
          <w:rFonts w:ascii="Arial" w:hAnsi="Arial" w:cs="Arial"/>
          <w:sz w:val="20"/>
          <w:szCs w:val="20"/>
        </w:rPr>
        <w:t xml:space="preserve"> criterios técnicos y transparentes </w:t>
      </w:r>
      <w:r w:rsidR="00854FDF">
        <w:rPr>
          <w:rFonts w:ascii="Arial" w:hAnsi="Arial" w:cs="Arial"/>
          <w:sz w:val="20"/>
          <w:szCs w:val="20"/>
        </w:rPr>
        <w:t>de priorización que a su vez generen crecimiento y empleo, ya que estos son vitales durante el periodo de reactivación económica.</w:t>
      </w:r>
    </w:p>
    <w:p w:rsidR="00A335A3" w:rsidRPr="00792087" w:rsidRDefault="00854FDF" w:rsidP="00A335A3">
      <w:pPr>
        <w:jc w:val="both"/>
        <w:rPr>
          <w:rFonts w:ascii="Arial" w:hAnsi="Arial" w:cs="Arial"/>
          <w:sz w:val="20"/>
          <w:szCs w:val="20"/>
        </w:rPr>
      </w:pPr>
      <w:r>
        <w:rPr>
          <w:rFonts w:ascii="Arial" w:hAnsi="Arial" w:cs="Arial"/>
          <w:sz w:val="20"/>
          <w:szCs w:val="20"/>
        </w:rPr>
        <w:t>En este contexto, e</w:t>
      </w:r>
      <w:r w:rsidR="00A335A3" w:rsidRPr="00792087">
        <w:rPr>
          <w:rFonts w:ascii="Arial" w:hAnsi="Arial" w:cs="Arial"/>
          <w:sz w:val="20"/>
          <w:szCs w:val="20"/>
        </w:rPr>
        <w:t xml:space="preserve">l uso de mapas es un medio utilizado para reportar estadísticas oficiales producidas por instituciones del gobierno central con el fin de hacerlas más digeribles para el lector. Ejemplo de ello es el documento producido por el INEI </w:t>
      </w:r>
      <w:r w:rsidR="00A335A3" w:rsidRPr="00792087">
        <w:rPr>
          <w:rFonts w:ascii="Arial" w:hAnsi="Arial" w:cs="Arial"/>
          <w:i/>
          <w:sz w:val="20"/>
          <w:szCs w:val="20"/>
        </w:rPr>
        <w:t xml:space="preserve">“Mapa de pobreza monetaria provincial y distrital 2018”, </w:t>
      </w:r>
      <w:r w:rsidR="00A335A3" w:rsidRPr="00792087">
        <w:rPr>
          <w:rFonts w:ascii="Arial" w:hAnsi="Arial" w:cs="Arial"/>
          <w:sz w:val="20"/>
          <w:szCs w:val="20"/>
        </w:rPr>
        <w:t>el cual</w:t>
      </w:r>
      <w:r w:rsidR="00A335A3" w:rsidRPr="00792087">
        <w:rPr>
          <w:rFonts w:ascii="Arial" w:hAnsi="Arial" w:cs="Arial"/>
          <w:i/>
          <w:sz w:val="20"/>
          <w:szCs w:val="20"/>
        </w:rPr>
        <w:t xml:space="preserve"> </w:t>
      </w:r>
      <w:r w:rsidR="00A335A3" w:rsidRPr="00792087">
        <w:rPr>
          <w:rFonts w:ascii="Arial" w:hAnsi="Arial" w:cs="Arial"/>
          <w:sz w:val="20"/>
          <w:szCs w:val="20"/>
        </w:rPr>
        <w:t>contiene indicadores de pobreza</w:t>
      </w:r>
      <w:r w:rsidR="00A335A3" w:rsidRPr="00792087">
        <w:rPr>
          <w:rStyle w:val="Refdenotaalpie"/>
          <w:rFonts w:ascii="Arial" w:hAnsi="Arial" w:cs="Arial"/>
          <w:sz w:val="20"/>
          <w:szCs w:val="20"/>
        </w:rPr>
        <w:footnoteReference w:id="1"/>
      </w:r>
      <w:r w:rsidR="00A335A3" w:rsidRPr="00792087">
        <w:rPr>
          <w:rFonts w:ascii="Arial" w:hAnsi="Arial" w:cs="Arial"/>
          <w:sz w:val="20"/>
          <w:szCs w:val="20"/>
        </w:rPr>
        <w:t>, desagregada geográficamente a nivel de provincial y distrital, la cual constituye por su naturaleza un importante insumo para la priorización y la implementación de políticas sociales en los distritos más vulnerables del país</w:t>
      </w:r>
      <w:sdt>
        <w:sdtPr>
          <w:rPr>
            <w:rFonts w:ascii="Arial" w:hAnsi="Arial" w:cs="Arial"/>
            <w:sz w:val="20"/>
            <w:szCs w:val="20"/>
          </w:rPr>
          <w:id w:val="-93940066"/>
          <w:citation/>
        </w:sdtPr>
        <w:sdtEndPr>
          <w:rPr>
            <w:color w:val="2F5496" w:themeColor="accent5" w:themeShade="BF"/>
          </w:rPr>
        </w:sdtEndPr>
        <w:sdtContent>
          <w:r w:rsidR="00A335A3" w:rsidRPr="00AE67C1">
            <w:rPr>
              <w:rFonts w:ascii="Arial" w:hAnsi="Arial" w:cs="Arial"/>
              <w:color w:val="2F5496" w:themeColor="accent5" w:themeShade="BF"/>
              <w:sz w:val="20"/>
              <w:szCs w:val="20"/>
            </w:rPr>
            <w:fldChar w:fldCharType="begin"/>
          </w:r>
          <w:r w:rsidR="00A335A3" w:rsidRPr="00AE67C1">
            <w:rPr>
              <w:rFonts w:ascii="Arial" w:hAnsi="Arial" w:cs="Arial"/>
              <w:color w:val="2F5496" w:themeColor="accent5" w:themeShade="BF"/>
              <w:sz w:val="20"/>
              <w:szCs w:val="20"/>
            </w:rPr>
            <w:instrText xml:space="preserve"> CITATION INE18 \l 10250 </w:instrText>
          </w:r>
          <w:r w:rsidR="00A335A3" w:rsidRPr="00AE67C1">
            <w:rPr>
              <w:rFonts w:ascii="Arial" w:hAnsi="Arial" w:cs="Arial"/>
              <w:color w:val="2F5496" w:themeColor="accent5" w:themeShade="BF"/>
              <w:sz w:val="20"/>
              <w:szCs w:val="20"/>
            </w:rPr>
            <w:fldChar w:fldCharType="separate"/>
          </w:r>
          <w:r w:rsidR="00A335A3">
            <w:rPr>
              <w:rFonts w:ascii="Arial" w:hAnsi="Arial" w:cs="Arial"/>
              <w:noProof/>
              <w:color w:val="2F5496" w:themeColor="accent5" w:themeShade="BF"/>
              <w:sz w:val="20"/>
              <w:szCs w:val="20"/>
            </w:rPr>
            <w:t xml:space="preserve"> </w:t>
          </w:r>
          <w:r w:rsidR="00A335A3" w:rsidRPr="00A335A3">
            <w:rPr>
              <w:rFonts w:ascii="Arial" w:hAnsi="Arial" w:cs="Arial"/>
              <w:noProof/>
              <w:color w:val="2F5496" w:themeColor="accent5" w:themeShade="BF"/>
              <w:sz w:val="20"/>
              <w:szCs w:val="20"/>
            </w:rPr>
            <w:t>(INEI, 2018)</w:t>
          </w:r>
          <w:r w:rsidR="00A335A3" w:rsidRPr="00AE67C1">
            <w:rPr>
              <w:rFonts w:ascii="Arial" w:hAnsi="Arial" w:cs="Arial"/>
              <w:color w:val="2F5496" w:themeColor="accent5" w:themeShade="BF"/>
              <w:sz w:val="20"/>
              <w:szCs w:val="20"/>
            </w:rPr>
            <w:fldChar w:fldCharType="end"/>
          </w:r>
        </w:sdtContent>
      </w:sdt>
      <w:r w:rsidR="00A335A3" w:rsidRPr="00792087">
        <w:rPr>
          <w:rFonts w:ascii="Arial" w:hAnsi="Arial" w:cs="Arial"/>
          <w:sz w:val="20"/>
          <w:szCs w:val="20"/>
        </w:rPr>
        <w:t xml:space="preserve">. </w:t>
      </w:r>
    </w:p>
    <w:p w:rsidR="00792087" w:rsidRDefault="00C53657" w:rsidP="00535991">
      <w:pPr>
        <w:jc w:val="both"/>
        <w:rPr>
          <w:rFonts w:ascii="Arial" w:hAnsi="Arial" w:cs="Arial"/>
          <w:sz w:val="20"/>
          <w:szCs w:val="20"/>
        </w:rPr>
      </w:pPr>
      <w:r>
        <w:rPr>
          <w:rFonts w:ascii="Arial" w:hAnsi="Arial" w:cs="Arial"/>
          <w:sz w:val="20"/>
          <w:szCs w:val="20"/>
        </w:rPr>
        <w:t xml:space="preserve">Los mapas </w:t>
      </w:r>
      <w:r w:rsidR="00301973">
        <w:rPr>
          <w:rFonts w:ascii="Arial" w:hAnsi="Arial" w:cs="Arial"/>
          <w:sz w:val="20"/>
          <w:szCs w:val="20"/>
        </w:rPr>
        <w:t xml:space="preserve">generados en el presente estudio presentarán los recursos transferidos del Gobierno Nacional a los gobiernos locales </w:t>
      </w:r>
      <w:r>
        <w:rPr>
          <w:rFonts w:ascii="Arial" w:hAnsi="Arial" w:cs="Arial"/>
          <w:sz w:val="20"/>
          <w:szCs w:val="20"/>
        </w:rPr>
        <w:t>a julio del 2021</w:t>
      </w:r>
      <w:r w:rsidR="00301973">
        <w:rPr>
          <w:rFonts w:ascii="Arial" w:hAnsi="Arial" w:cs="Arial"/>
          <w:sz w:val="20"/>
          <w:szCs w:val="20"/>
        </w:rPr>
        <w:t>, lo que nos pueden dar una muestra de</w:t>
      </w:r>
      <w:r>
        <w:rPr>
          <w:rFonts w:ascii="Arial" w:hAnsi="Arial" w:cs="Arial"/>
          <w:sz w:val="20"/>
          <w:szCs w:val="20"/>
        </w:rPr>
        <w:t>l</w:t>
      </w:r>
      <w:r w:rsidR="00301973">
        <w:rPr>
          <w:rFonts w:ascii="Arial" w:hAnsi="Arial" w:cs="Arial"/>
          <w:sz w:val="20"/>
          <w:szCs w:val="20"/>
        </w:rPr>
        <w:t xml:space="preserve"> nivel de</w:t>
      </w:r>
      <w:r>
        <w:rPr>
          <w:rFonts w:ascii="Arial" w:hAnsi="Arial" w:cs="Arial"/>
          <w:sz w:val="20"/>
          <w:szCs w:val="20"/>
        </w:rPr>
        <w:t xml:space="preserve"> ejecución presupuestal de los proyectos a nivel departamental y provincial. </w:t>
      </w:r>
      <w:r w:rsidR="00301973">
        <w:rPr>
          <w:rFonts w:ascii="Arial" w:hAnsi="Arial" w:cs="Arial"/>
          <w:sz w:val="20"/>
          <w:szCs w:val="20"/>
        </w:rPr>
        <w:t xml:space="preserve">Asimismo, se podrá conocer la relación entre el monto transferido y el número de empleos generados producto del proyecto de inversión pública. </w:t>
      </w:r>
      <w:r>
        <w:rPr>
          <w:rFonts w:ascii="Arial" w:hAnsi="Arial" w:cs="Arial"/>
          <w:sz w:val="20"/>
          <w:szCs w:val="20"/>
        </w:rPr>
        <w:t xml:space="preserve">  </w:t>
      </w:r>
      <w:bookmarkStart w:id="0" w:name="_GoBack"/>
      <w:bookmarkEnd w:id="0"/>
    </w:p>
    <w:p w:rsidR="00C53657" w:rsidRPr="00792087" w:rsidRDefault="00C53657" w:rsidP="00535991">
      <w:pPr>
        <w:jc w:val="both"/>
        <w:rPr>
          <w:rFonts w:ascii="Arial" w:hAnsi="Arial" w:cs="Arial"/>
          <w:sz w:val="20"/>
          <w:szCs w:val="20"/>
        </w:rPr>
      </w:pPr>
    </w:p>
    <w:p w:rsidR="00792087" w:rsidRPr="00792087" w:rsidRDefault="00792087" w:rsidP="00535991">
      <w:pPr>
        <w:jc w:val="both"/>
        <w:rPr>
          <w:rFonts w:ascii="Arial" w:hAnsi="Arial" w:cs="Arial"/>
          <w:sz w:val="20"/>
          <w:szCs w:val="20"/>
        </w:rPr>
      </w:pPr>
    </w:p>
    <w:p w:rsidR="00792087" w:rsidRPr="00792087" w:rsidRDefault="00792087" w:rsidP="00535991">
      <w:pPr>
        <w:jc w:val="both"/>
        <w:rPr>
          <w:rFonts w:ascii="Arial" w:hAnsi="Arial" w:cs="Arial"/>
          <w:sz w:val="20"/>
          <w:szCs w:val="20"/>
        </w:rPr>
      </w:pPr>
    </w:p>
    <w:p w:rsidR="00792087" w:rsidRPr="00792087" w:rsidRDefault="00792087" w:rsidP="00535991">
      <w:pPr>
        <w:jc w:val="both"/>
        <w:rPr>
          <w:rFonts w:ascii="Arial" w:hAnsi="Arial" w:cs="Arial"/>
          <w:sz w:val="20"/>
          <w:szCs w:val="20"/>
        </w:rPr>
      </w:pPr>
    </w:p>
    <w:p w:rsidR="00792087" w:rsidRPr="00792087" w:rsidRDefault="00792087" w:rsidP="00535991">
      <w:pPr>
        <w:jc w:val="both"/>
        <w:rPr>
          <w:rFonts w:ascii="Arial" w:hAnsi="Arial" w:cs="Arial"/>
          <w:sz w:val="20"/>
          <w:szCs w:val="20"/>
        </w:rPr>
      </w:pPr>
    </w:p>
    <w:p w:rsidR="00792087" w:rsidRDefault="00792087" w:rsidP="00535991">
      <w:pPr>
        <w:jc w:val="both"/>
        <w:rPr>
          <w:rFonts w:ascii="Arial" w:hAnsi="Arial" w:cs="Arial"/>
          <w:sz w:val="20"/>
          <w:szCs w:val="20"/>
        </w:rPr>
      </w:pPr>
    </w:p>
    <w:p w:rsidR="00AE67C1" w:rsidRDefault="00AE67C1" w:rsidP="00535991">
      <w:pPr>
        <w:jc w:val="both"/>
        <w:rPr>
          <w:rFonts w:ascii="Arial" w:hAnsi="Arial" w:cs="Arial"/>
          <w:sz w:val="20"/>
          <w:szCs w:val="20"/>
        </w:rPr>
      </w:pPr>
    </w:p>
    <w:p w:rsidR="00AE67C1" w:rsidRDefault="00AE67C1" w:rsidP="00535991">
      <w:pPr>
        <w:jc w:val="both"/>
        <w:rPr>
          <w:rFonts w:ascii="Arial" w:hAnsi="Arial" w:cs="Arial"/>
          <w:sz w:val="20"/>
          <w:szCs w:val="20"/>
        </w:rPr>
      </w:pPr>
    </w:p>
    <w:p w:rsidR="00AE67C1" w:rsidRDefault="00AE67C1" w:rsidP="00535991">
      <w:pPr>
        <w:jc w:val="both"/>
        <w:rPr>
          <w:rFonts w:ascii="Arial" w:hAnsi="Arial" w:cs="Arial"/>
          <w:sz w:val="20"/>
          <w:szCs w:val="20"/>
        </w:rPr>
      </w:pPr>
    </w:p>
    <w:p w:rsidR="00AE67C1" w:rsidRPr="00792087" w:rsidRDefault="00AE67C1" w:rsidP="00535991">
      <w:pPr>
        <w:jc w:val="both"/>
        <w:rPr>
          <w:rFonts w:ascii="Arial" w:hAnsi="Arial" w:cs="Arial"/>
          <w:sz w:val="20"/>
          <w:szCs w:val="20"/>
        </w:rPr>
      </w:pPr>
    </w:p>
    <w:p w:rsidR="00792087" w:rsidRPr="00792087" w:rsidRDefault="00792087" w:rsidP="00535991">
      <w:pPr>
        <w:jc w:val="both"/>
        <w:rPr>
          <w:rFonts w:ascii="Arial" w:hAnsi="Arial" w:cs="Arial"/>
          <w:sz w:val="20"/>
          <w:szCs w:val="20"/>
        </w:rPr>
      </w:pPr>
    </w:p>
    <w:sdt>
      <w:sdtPr>
        <w:rPr>
          <w:rFonts w:ascii="Arial" w:hAnsi="Arial" w:cs="Arial"/>
          <w:sz w:val="20"/>
          <w:szCs w:val="20"/>
          <w:lang w:val="es-ES"/>
        </w:rPr>
        <w:id w:val="214160799"/>
        <w:docPartObj>
          <w:docPartGallery w:val="Bibliographies"/>
          <w:docPartUnique/>
        </w:docPartObj>
      </w:sdtPr>
      <w:sdtEndPr>
        <w:rPr>
          <w:rFonts w:eastAsiaTheme="minorHAnsi"/>
          <w:color w:val="auto"/>
          <w:lang w:val="es-PE" w:eastAsia="en-US"/>
        </w:rPr>
      </w:sdtEndPr>
      <w:sdtContent>
        <w:p w:rsidR="00792087" w:rsidRDefault="00792087">
          <w:pPr>
            <w:pStyle w:val="Ttulo1"/>
            <w:rPr>
              <w:rFonts w:ascii="Arial" w:hAnsi="Arial" w:cs="Arial"/>
              <w:b/>
              <w:color w:val="auto"/>
              <w:sz w:val="20"/>
              <w:szCs w:val="20"/>
              <w:lang w:val="es-ES"/>
            </w:rPr>
          </w:pPr>
          <w:r w:rsidRPr="00AE67C1">
            <w:rPr>
              <w:rFonts w:ascii="Arial" w:hAnsi="Arial" w:cs="Arial"/>
              <w:b/>
              <w:color w:val="auto"/>
              <w:sz w:val="20"/>
              <w:szCs w:val="20"/>
              <w:lang w:val="es-ES"/>
            </w:rPr>
            <w:t>Bibliografía</w:t>
          </w:r>
        </w:p>
        <w:p w:rsidR="00AE67C1" w:rsidRPr="00AE67C1" w:rsidRDefault="00AE67C1" w:rsidP="00AE67C1">
          <w:pPr>
            <w:rPr>
              <w:lang w:val="es-ES" w:eastAsia="es-PE"/>
            </w:rPr>
          </w:pPr>
        </w:p>
        <w:sdt>
          <w:sdtPr>
            <w:rPr>
              <w:rFonts w:ascii="Arial" w:hAnsi="Arial" w:cs="Arial"/>
              <w:sz w:val="20"/>
              <w:szCs w:val="20"/>
            </w:rPr>
            <w:id w:val="111145805"/>
            <w:bibliography/>
          </w:sdtPr>
          <w:sdtContent>
            <w:p w:rsidR="00A335A3" w:rsidRDefault="00792087" w:rsidP="00A335A3">
              <w:pPr>
                <w:pStyle w:val="Bibliografa"/>
                <w:ind w:left="720" w:hanging="720"/>
                <w:rPr>
                  <w:noProof/>
                  <w:sz w:val="24"/>
                  <w:szCs w:val="24"/>
                  <w:lang w:val="es-ES"/>
                </w:rPr>
              </w:pPr>
              <w:r w:rsidRPr="00792087">
                <w:rPr>
                  <w:rFonts w:ascii="Arial" w:hAnsi="Arial" w:cs="Arial"/>
                  <w:sz w:val="20"/>
                  <w:szCs w:val="20"/>
                </w:rPr>
                <w:fldChar w:fldCharType="begin"/>
              </w:r>
              <w:r w:rsidRPr="00792087">
                <w:rPr>
                  <w:rFonts w:ascii="Arial" w:hAnsi="Arial" w:cs="Arial"/>
                  <w:sz w:val="20"/>
                  <w:szCs w:val="20"/>
                </w:rPr>
                <w:instrText>BIBLIOGRAPHY</w:instrText>
              </w:r>
              <w:r w:rsidRPr="00792087">
                <w:rPr>
                  <w:rFonts w:ascii="Arial" w:hAnsi="Arial" w:cs="Arial"/>
                  <w:sz w:val="20"/>
                  <w:szCs w:val="20"/>
                </w:rPr>
                <w:fldChar w:fldCharType="separate"/>
              </w:r>
              <w:r w:rsidR="00A335A3">
                <w:rPr>
                  <w:noProof/>
                  <w:lang w:val="es-ES"/>
                </w:rPr>
                <w:t xml:space="preserve">Armendariz, E. (Junio de 2020). </w:t>
              </w:r>
              <w:r w:rsidR="00A335A3">
                <w:rPr>
                  <w:i/>
                  <w:iCs/>
                  <w:noProof/>
                  <w:lang w:val="es-ES"/>
                </w:rPr>
                <w:t>Hacer más con menos: Recomendaciones para mejorar la inversión pública en la post-pandemia.</w:t>
              </w:r>
              <w:r w:rsidR="00A335A3">
                <w:rPr>
                  <w:noProof/>
                  <w:lang w:val="es-ES"/>
                </w:rPr>
                <w:t xml:space="preserve"> Obtenido de https://blogs.iadb.org/gestion-fiscal/es/hacer-mas-con-menos-recomendaciones-inversion-publica/</w:t>
              </w:r>
            </w:p>
            <w:p w:rsidR="00A335A3" w:rsidRDefault="00A335A3" w:rsidP="00A335A3">
              <w:pPr>
                <w:pStyle w:val="Bibliografa"/>
                <w:ind w:left="720" w:hanging="720"/>
                <w:rPr>
                  <w:noProof/>
                  <w:lang w:val="es-ES"/>
                </w:rPr>
              </w:pPr>
              <w:r>
                <w:rPr>
                  <w:noProof/>
                  <w:lang w:val="es-ES"/>
                </w:rPr>
                <w:t xml:space="preserve">BID. (2020). </w:t>
              </w:r>
              <w:r>
                <w:rPr>
                  <w:i/>
                  <w:iCs/>
                  <w:noProof/>
                  <w:lang w:val="es-ES"/>
                </w:rPr>
                <w:t>Estudio BID-OCDE instan a fortalecer gobernanza e integridad en América Latina y el Caribe.</w:t>
              </w:r>
              <w:r>
                <w:rPr>
                  <w:noProof/>
                  <w:lang w:val="es-ES"/>
                </w:rPr>
                <w:t xml:space="preserve"> Obtenido de https://www.iadb.org/es/noticias/estudio-bid-ocde-instan-fortalecer-gobernanza-e-integridad-en-america-latina-y-el-caribe</w:t>
              </w:r>
            </w:p>
            <w:p w:rsidR="00A335A3" w:rsidRDefault="00A335A3" w:rsidP="00A335A3">
              <w:pPr>
                <w:pStyle w:val="Bibliografa"/>
                <w:ind w:left="720" w:hanging="720"/>
                <w:rPr>
                  <w:noProof/>
                  <w:lang w:val="es-ES"/>
                </w:rPr>
              </w:pPr>
              <w:r>
                <w:rPr>
                  <w:noProof/>
                  <w:lang w:val="es-ES"/>
                </w:rPr>
                <w:t xml:space="preserve">INEI. (2018). </w:t>
              </w:r>
              <w:r>
                <w:rPr>
                  <w:i/>
                  <w:iCs/>
                  <w:noProof/>
                  <w:lang w:val="es-ES"/>
                </w:rPr>
                <w:t>Mapa de Pobreza monetaria provincial y distrital .</w:t>
              </w:r>
              <w:r>
                <w:rPr>
                  <w:noProof/>
                  <w:lang w:val="es-ES"/>
                </w:rPr>
                <w:t xml:space="preserve"> Lima.</w:t>
              </w:r>
            </w:p>
            <w:p w:rsidR="00792087" w:rsidRPr="00792087" w:rsidRDefault="00792087" w:rsidP="00A335A3">
              <w:pPr>
                <w:rPr>
                  <w:rFonts w:ascii="Arial" w:hAnsi="Arial" w:cs="Arial"/>
                  <w:sz w:val="20"/>
                  <w:szCs w:val="20"/>
                </w:rPr>
              </w:pPr>
              <w:r w:rsidRPr="00792087">
                <w:rPr>
                  <w:rFonts w:ascii="Arial" w:hAnsi="Arial" w:cs="Arial"/>
                  <w:b/>
                  <w:bCs/>
                  <w:sz w:val="20"/>
                  <w:szCs w:val="20"/>
                </w:rPr>
                <w:fldChar w:fldCharType="end"/>
              </w:r>
            </w:p>
          </w:sdtContent>
        </w:sdt>
      </w:sdtContent>
    </w:sdt>
    <w:p w:rsidR="00792087" w:rsidRPr="00792087" w:rsidRDefault="00792087" w:rsidP="00535991">
      <w:pPr>
        <w:jc w:val="both"/>
        <w:rPr>
          <w:rFonts w:ascii="Arial" w:hAnsi="Arial" w:cs="Arial"/>
          <w:sz w:val="20"/>
          <w:szCs w:val="20"/>
        </w:rPr>
      </w:pPr>
    </w:p>
    <w:p w:rsidR="00792087" w:rsidRDefault="00792087" w:rsidP="00535991">
      <w:pPr>
        <w:jc w:val="both"/>
      </w:pPr>
    </w:p>
    <w:p w:rsidR="00792087" w:rsidRDefault="00792087" w:rsidP="00535991">
      <w:pPr>
        <w:jc w:val="both"/>
      </w:pPr>
    </w:p>
    <w:p w:rsidR="00792087" w:rsidRDefault="00792087" w:rsidP="00535991">
      <w:pPr>
        <w:jc w:val="both"/>
      </w:pPr>
    </w:p>
    <w:p w:rsidR="00792087" w:rsidRDefault="00792087" w:rsidP="00535991">
      <w:pPr>
        <w:jc w:val="both"/>
      </w:pPr>
    </w:p>
    <w:p w:rsidR="00792087" w:rsidRPr="00535991" w:rsidRDefault="00792087" w:rsidP="00535991">
      <w:pPr>
        <w:jc w:val="both"/>
      </w:pPr>
    </w:p>
    <w:sectPr w:rsidR="00792087" w:rsidRPr="005359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E67" w:rsidRDefault="00863E67" w:rsidP="00825E72">
      <w:pPr>
        <w:spacing w:after="0" w:line="240" w:lineRule="auto"/>
      </w:pPr>
      <w:r>
        <w:separator/>
      </w:r>
    </w:p>
  </w:endnote>
  <w:endnote w:type="continuationSeparator" w:id="0">
    <w:p w:rsidR="00863E67" w:rsidRDefault="00863E67" w:rsidP="0082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E67" w:rsidRDefault="00863E67" w:rsidP="00825E72">
      <w:pPr>
        <w:spacing w:after="0" w:line="240" w:lineRule="auto"/>
      </w:pPr>
      <w:r>
        <w:separator/>
      </w:r>
    </w:p>
  </w:footnote>
  <w:footnote w:type="continuationSeparator" w:id="0">
    <w:p w:rsidR="00863E67" w:rsidRDefault="00863E67" w:rsidP="00825E72">
      <w:pPr>
        <w:spacing w:after="0" w:line="240" w:lineRule="auto"/>
      </w:pPr>
      <w:r>
        <w:continuationSeparator/>
      </w:r>
    </w:p>
  </w:footnote>
  <w:footnote w:id="1">
    <w:p w:rsidR="00A335A3" w:rsidRPr="00792087" w:rsidRDefault="00A335A3" w:rsidP="00A335A3">
      <w:pPr>
        <w:pStyle w:val="Textonotapie"/>
        <w:rPr>
          <w:rFonts w:ascii="Arial" w:hAnsi="Arial" w:cs="Arial"/>
        </w:rPr>
      </w:pPr>
      <w:r w:rsidRPr="00792087">
        <w:rPr>
          <w:rStyle w:val="Refdenotaalpie"/>
          <w:rFonts w:ascii="Arial" w:hAnsi="Arial" w:cs="Arial"/>
        </w:rPr>
        <w:footnoteRef/>
      </w:r>
      <w:r w:rsidRPr="00792087">
        <w:rPr>
          <w:rFonts w:ascii="Arial" w:hAnsi="Arial" w:cs="Arial"/>
        </w:rPr>
        <w:t xml:space="preserve"> Elaborados con una metodología que combina datos del Censo de Población y Vivienda 2017 (CPV), la Encuesta Nacional de Hogares 2017-2018 (ENAHO) y otras fuentes de datos.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B7"/>
    <w:rsid w:val="00044BEA"/>
    <w:rsid w:val="000558E1"/>
    <w:rsid w:val="000A101B"/>
    <w:rsid w:val="000C39FD"/>
    <w:rsid w:val="00147E4D"/>
    <w:rsid w:val="00190879"/>
    <w:rsid w:val="00255DDD"/>
    <w:rsid w:val="002A7A22"/>
    <w:rsid w:val="00301973"/>
    <w:rsid w:val="003B1284"/>
    <w:rsid w:val="00535991"/>
    <w:rsid w:val="00566195"/>
    <w:rsid w:val="005B2C63"/>
    <w:rsid w:val="006A4676"/>
    <w:rsid w:val="00726546"/>
    <w:rsid w:val="00792087"/>
    <w:rsid w:val="007D338D"/>
    <w:rsid w:val="00825E72"/>
    <w:rsid w:val="00854FDF"/>
    <w:rsid w:val="00863E67"/>
    <w:rsid w:val="008962AE"/>
    <w:rsid w:val="00A335A3"/>
    <w:rsid w:val="00AE67C1"/>
    <w:rsid w:val="00B450B3"/>
    <w:rsid w:val="00C36352"/>
    <w:rsid w:val="00C53657"/>
    <w:rsid w:val="00E9175A"/>
    <w:rsid w:val="00EF50A1"/>
    <w:rsid w:val="00FC0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C519"/>
  <w15:chartTrackingRefBased/>
  <w15:docId w15:val="{E04A6354-F902-4D7D-82E1-A10ACE9F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2087"/>
    <w:pPr>
      <w:keepNext/>
      <w:keepLines/>
      <w:spacing w:before="240" w:after="0"/>
      <w:outlineLvl w:val="0"/>
    </w:pPr>
    <w:rPr>
      <w:rFonts w:asciiTheme="majorHAnsi" w:eastAsiaTheme="majorEastAsia" w:hAnsiTheme="majorHAnsi" w:cstheme="majorBidi"/>
      <w:color w:val="2E74B5"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25E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5E72"/>
    <w:rPr>
      <w:sz w:val="20"/>
      <w:szCs w:val="20"/>
    </w:rPr>
  </w:style>
  <w:style w:type="character" w:styleId="Refdenotaalpie">
    <w:name w:val="footnote reference"/>
    <w:basedOn w:val="Fuentedeprrafopredeter"/>
    <w:uiPriority w:val="99"/>
    <w:semiHidden/>
    <w:unhideWhenUsed/>
    <w:rsid w:val="00825E72"/>
    <w:rPr>
      <w:vertAlign w:val="superscript"/>
    </w:rPr>
  </w:style>
  <w:style w:type="character" w:customStyle="1" w:styleId="Ttulo1Car">
    <w:name w:val="Título 1 Car"/>
    <w:basedOn w:val="Fuentedeprrafopredeter"/>
    <w:link w:val="Ttulo1"/>
    <w:uiPriority w:val="9"/>
    <w:rsid w:val="00792087"/>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79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426">
      <w:bodyDiv w:val="1"/>
      <w:marLeft w:val="0"/>
      <w:marRight w:val="0"/>
      <w:marTop w:val="0"/>
      <w:marBottom w:val="0"/>
      <w:divBdr>
        <w:top w:val="none" w:sz="0" w:space="0" w:color="auto"/>
        <w:left w:val="none" w:sz="0" w:space="0" w:color="auto"/>
        <w:bottom w:val="none" w:sz="0" w:space="0" w:color="auto"/>
        <w:right w:val="none" w:sz="0" w:space="0" w:color="auto"/>
      </w:divBdr>
    </w:div>
    <w:div w:id="307711461">
      <w:bodyDiv w:val="1"/>
      <w:marLeft w:val="0"/>
      <w:marRight w:val="0"/>
      <w:marTop w:val="0"/>
      <w:marBottom w:val="0"/>
      <w:divBdr>
        <w:top w:val="none" w:sz="0" w:space="0" w:color="auto"/>
        <w:left w:val="none" w:sz="0" w:space="0" w:color="auto"/>
        <w:bottom w:val="none" w:sz="0" w:space="0" w:color="auto"/>
        <w:right w:val="none" w:sz="0" w:space="0" w:color="auto"/>
      </w:divBdr>
    </w:div>
    <w:div w:id="329529144">
      <w:bodyDiv w:val="1"/>
      <w:marLeft w:val="0"/>
      <w:marRight w:val="0"/>
      <w:marTop w:val="0"/>
      <w:marBottom w:val="0"/>
      <w:divBdr>
        <w:top w:val="none" w:sz="0" w:space="0" w:color="auto"/>
        <w:left w:val="none" w:sz="0" w:space="0" w:color="auto"/>
        <w:bottom w:val="none" w:sz="0" w:space="0" w:color="auto"/>
        <w:right w:val="none" w:sz="0" w:space="0" w:color="auto"/>
      </w:divBdr>
    </w:div>
    <w:div w:id="538858793">
      <w:bodyDiv w:val="1"/>
      <w:marLeft w:val="0"/>
      <w:marRight w:val="0"/>
      <w:marTop w:val="0"/>
      <w:marBottom w:val="0"/>
      <w:divBdr>
        <w:top w:val="none" w:sz="0" w:space="0" w:color="auto"/>
        <w:left w:val="none" w:sz="0" w:space="0" w:color="auto"/>
        <w:bottom w:val="none" w:sz="0" w:space="0" w:color="auto"/>
        <w:right w:val="none" w:sz="0" w:space="0" w:color="auto"/>
      </w:divBdr>
    </w:div>
    <w:div w:id="858542240">
      <w:bodyDiv w:val="1"/>
      <w:marLeft w:val="0"/>
      <w:marRight w:val="0"/>
      <w:marTop w:val="0"/>
      <w:marBottom w:val="0"/>
      <w:divBdr>
        <w:top w:val="none" w:sz="0" w:space="0" w:color="auto"/>
        <w:left w:val="none" w:sz="0" w:space="0" w:color="auto"/>
        <w:bottom w:val="none" w:sz="0" w:space="0" w:color="auto"/>
        <w:right w:val="none" w:sz="0" w:space="0" w:color="auto"/>
      </w:divBdr>
    </w:div>
    <w:div w:id="981275685">
      <w:bodyDiv w:val="1"/>
      <w:marLeft w:val="0"/>
      <w:marRight w:val="0"/>
      <w:marTop w:val="0"/>
      <w:marBottom w:val="0"/>
      <w:divBdr>
        <w:top w:val="none" w:sz="0" w:space="0" w:color="auto"/>
        <w:left w:val="none" w:sz="0" w:space="0" w:color="auto"/>
        <w:bottom w:val="none" w:sz="0" w:space="0" w:color="auto"/>
        <w:right w:val="none" w:sz="0" w:space="0" w:color="auto"/>
      </w:divBdr>
    </w:div>
    <w:div w:id="996569199">
      <w:bodyDiv w:val="1"/>
      <w:marLeft w:val="0"/>
      <w:marRight w:val="0"/>
      <w:marTop w:val="0"/>
      <w:marBottom w:val="0"/>
      <w:divBdr>
        <w:top w:val="none" w:sz="0" w:space="0" w:color="auto"/>
        <w:left w:val="none" w:sz="0" w:space="0" w:color="auto"/>
        <w:bottom w:val="none" w:sz="0" w:space="0" w:color="auto"/>
        <w:right w:val="none" w:sz="0" w:space="0" w:color="auto"/>
      </w:divBdr>
    </w:div>
    <w:div w:id="1155605857">
      <w:bodyDiv w:val="1"/>
      <w:marLeft w:val="0"/>
      <w:marRight w:val="0"/>
      <w:marTop w:val="0"/>
      <w:marBottom w:val="0"/>
      <w:divBdr>
        <w:top w:val="none" w:sz="0" w:space="0" w:color="auto"/>
        <w:left w:val="none" w:sz="0" w:space="0" w:color="auto"/>
        <w:bottom w:val="none" w:sz="0" w:space="0" w:color="auto"/>
        <w:right w:val="none" w:sz="0" w:space="0" w:color="auto"/>
      </w:divBdr>
    </w:div>
    <w:div w:id="1226448918">
      <w:bodyDiv w:val="1"/>
      <w:marLeft w:val="0"/>
      <w:marRight w:val="0"/>
      <w:marTop w:val="0"/>
      <w:marBottom w:val="0"/>
      <w:divBdr>
        <w:top w:val="none" w:sz="0" w:space="0" w:color="auto"/>
        <w:left w:val="none" w:sz="0" w:space="0" w:color="auto"/>
        <w:bottom w:val="none" w:sz="0" w:space="0" w:color="auto"/>
        <w:right w:val="none" w:sz="0" w:space="0" w:color="auto"/>
      </w:divBdr>
    </w:div>
    <w:div w:id="1726677689">
      <w:bodyDiv w:val="1"/>
      <w:marLeft w:val="0"/>
      <w:marRight w:val="0"/>
      <w:marTop w:val="0"/>
      <w:marBottom w:val="0"/>
      <w:divBdr>
        <w:top w:val="none" w:sz="0" w:space="0" w:color="auto"/>
        <w:left w:val="none" w:sz="0" w:space="0" w:color="auto"/>
        <w:bottom w:val="none" w:sz="0" w:space="0" w:color="auto"/>
        <w:right w:val="none" w:sz="0" w:space="0" w:color="auto"/>
      </w:divBdr>
    </w:div>
    <w:div w:id="1803039069">
      <w:bodyDiv w:val="1"/>
      <w:marLeft w:val="0"/>
      <w:marRight w:val="0"/>
      <w:marTop w:val="0"/>
      <w:marBottom w:val="0"/>
      <w:divBdr>
        <w:top w:val="none" w:sz="0" w:space="0" w:color="auto"/>
        <w:left w:val="none" w:sz="0" w:space="0" w:color="auto"/>
        <w:bottom w:val="none" w:sz="0" w:space="0" w:color="auto"/>
        <w:right w:val="none" w:sz="0" w:space="0" w:color="auto"/>
      </w:divBdr>
    </w:div>
    <w:div w:id="19587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INE18</b:Tag>
    <b:SourceType>Book</b:SourceType>
    <b:Guid>{912A3656-4B89-4698-A1CD-D308F03769BB}</b:Guid>
    <b:Title>Mapa de Pobreza monetaria provincial y distrital </b:Title>
    <b:Year>2018</b:Year>
    <b:Author>
      <b:Author>
        <b:Corporate>INEI</b:Corporate>
      </b:Author>
    </b:Author>
    <b:City>Lima</b:City>
    <b:RefOrder>1</b:RefOrder>
  </b:Source>
  <b:Source>
    <b:Tag>BID20</b:Tag>
    <b:SourceType>DocumentFromInternetSite</b:SourceType>
    <b:Guid>{4EE012DE-90A7-4510-9741-4247C0E6BB98}</b:Guid>
    <b:Title>Estudio BID-OCDE instan a fortalecer gobernanza e integridad en América Latina y el Caribe</b:Title>
    <b:Year>2020</b:Year>
    <b:Author>
      <b:Author>
        <b:Corporate>BID</b:Corporate>
      </b:Author>
    </b:Author>
    <b:URL>https://www.iadb.org/es/noticias/estudio-bid-ocde-instan-fortalecer-gobernanza-e-integridad-en-america-latina-y-el-caribe</b:URL>
    <b:RefOrder>3</b:RefOrder>
  </b:Source>
  <b:Source>
    <b:Tag>Arm20</b:Tag>
    <b:SourceType>DocumentFromInternetSite</b:SourceType>
    <b:Guid>{6C42992E-ED8E-4B01-A620-15C059653841}</b:Guid>
    <b:Author>
      <b:Author>
        <b:NameList>
          <b:Person>
            <b:Last>Armendariz</b:Last>
            <b:First>Edna</b:First>
          </b:Person>
        </b:NameList>
      </b:Author>
    </b:Author>
    <b:Title>Hacer más con menos: Recomendaciones para mejorar la inversión pública en la post-pandemia</b:Title>
    <b:Year>2020</b:Year>
    <b:Month>Junio</b:Month>
    <b:URL>https://blogs.iadb.org/gestion-fiscal/es/hacer-mas-con-menos-recomendaciones-inversion-publica/</b:URL>
    <b:RefOrder>2</b:RefOrder>
  </b:Source>
</b:Sources>
</file>

<file path=customXml/itemProps1.xml><?xml version="1.0" encoding="utf-8"?>
<ds:datastoreItem xmlns:ds="http://schemas.openxmlformats.org/officeDocument/2006/customXml" ds:itemID="{613DF15A-0908-433B-9715-145706C7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Pages>
  <Words>567</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Edith Obregon Huaman</dc:creator>
  <cp:keywords/>
  <dc:description/>
  <cp:lastModifiedBy>Diana Edith Obregon Huaman</cp:lastModifiedBy>
  <cp:revision>9</cp:revision>
  <dcterms:created xsi:type="dcterms:W3CDTF">2023-01-24T16:31:00Z</dcterms:created>
  <dcterms:modified xsi:type="dcterms:W3CDTF">2023-01-24T23:08:00Z</dcterms:modified>
</cp:coreProperties>
</file>