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Mapa de Fluxo de Valor (MFV) - Análise do Estado Presente e Futuro</w:t>
      </w:r>
    </w:p>
    <w:p>
      <w:pPr>
        <w:pStyle w:val="Heading1"/>
      </w:pPr>
      <w:r>
        <w:t>Estado Presente</w:t>
      </w:r>
    </w:p>
    <w:p>
      <w:r>
        <w:t>Com base na análise do MFV atual, foram observadas as seguintes características:</w:t>
      </w:r>
    </w:p>
    <w:p>
      <w:r>
        <w:t>- Estoques intermediários elevados (7 dias por etapa)</w:t>
      </w:r>
    </w:p>
    <w:p>
      <w:r>
        <w:t>- Tempo total de valor agregado (VA): ~0,0058 dias (~8 minutos)</w:t>
      </w:r>
    </w:p>
    <w:p>
      <w:r>
        <w:t>- Tempo total de não valor agregado (NVA): 35 dias</w:t>
      </w:r>
    </w:p>
    <w:p>
      <w:r>
        <w:t>- Eficiência Geral do Processo (PCE): 0,0165%</w:t>
      </w:r>
    </w:p>
    <w:p>
      <w:pPr>
        <w:pStyle w:val="Heading1"/>
      </w:pPr>
      <w:r>
        <w:t>Estado Futuro (Proposto com Melhorias Lean)</w:t>
      </w:r>
    </w:p>
    <w:p>
      <w:r>
        <w:t>Foram realizadas simulações considerando a redução de estoques intermediários para 1 dia em cada etapa:</w:t>
      </w:r>
    </w:p>
    <w:p>
      <w:r>
        <w:t>- Estoques intermediários: 1 dia por etapa</w:t>
      </w:r>
    </w:p>
    <w:p>
      <w:r>
        <w:t>- Tempo total VA permanece: ~0,0058 dias (~8 minutos)</w:t>
      </w:r>
    </w:p>
    <w:p>
      <w:r>
        <w:t>- Tempo total NVA reduzido para: 5 dias</w:t>
      </w:r>
    </w:p>
    <w:p>
      <w:r>
        <w:t>- Eficiência Geral do Processo (PCE): 0,1154%</w:t>
      </w:r>
    </w:p>
    <w:p>
      <w:pPr>
        <w:pStyle w:val="Heading1"/>
      </w:pPr>
      <w:r>
        <w:t>Conclusão</w:t>
      </w:r>
    </w:p>
    <w:p>
      <w:r>
        <w:t>A aplicação de melhorias simples baseadas em princípios Lean, como redução de estoques intermediários e reorganização do layout, resulta em aumento significativo da eficiência do processo. A eficiência passa de 0,0165% para 0,1154%, aproximando o sistema de uma estrutura mais ágil e enxuta. Recomenda-se prosseguir com ações como balanceamento de linha, estudo de tempos e simulações detalhadas.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