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78"/>
        <w:gridCol w:w="4360"/>
      </w:tblGrid>
      <w:tr w14:paraId="01953FF8">
        <w:trPr>
          <w:cantSplit/>
        </w:trPr>
        <w:tc>
          <w:tcPr>
            <w:tcW w:w="527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A9C454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20" w:lineRule="exact"/>
            </w:pPr>
          </w:p>
        </w:tc>
        <w:tc>
          <w:tcPr>
            <w:tcW w:w="436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71BAEE">
            <w:pPr>
              <w:pStyle w:val="31"/>
              <w:keepLines w:val="0"/>
              <w:widowControl w:val="0"/>
              <w:autoSpaceDE w:val="0"/>
              <w:autoSpaceDN w:val="0"/>
              <w:snapToGrid w:val="0"/>
              <w:spacing w:before="0" w:after="160" w:line="1120" w:lineRule="exact"/>
              <w:rPr>
                <w:rFonts w:hint="default"/>
                <w:lang w:val="en-US"/>
              </w:rPr>
            </w:pPr>
            <w:r>
              <w:rPr>
                <w:rFonts w:hint="eastAsia" w:cs="Helvetica Neue" w:eastAsia="Hiragino Sans GB" w:ascii="Helvetica Neue" w:hAnsi="Helvetica Neue"/>
                <w:b/>
                <w:color w:val="111111"/>
                <w:sz w:val="88"/>
                <w:lang w:val="en-US" w:eastAsia="zh-CN"/>
              </w:rPr>
              <w:t>葛津亦</w:t>
            </w:r>
          </w:p>
          <w:p w14:paraId="2C75CDB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 xml:space="preserve">AIGC 视频创作 / 视觉工作流</w:t>
            </w:r>
          </w:p>
          <w:p w14:paraId="1B7B1B37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hint="default"/>
                <w:lang w:val="en-US"/>
              </w:rPr>
            </w:pP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13614579171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 xml:space="preserve"> · 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cnmrge</w:t>
            </w:r>
            <w:r>
              <w:rPr>
                <w:rFonts w:hint="default" w:cs="Helvetica Neue"/>
                <w:b w:val="0"/>
                <w:color w:val="111111"/>
                <w:sz w:val="20"/>
                <w:lang w:val="en-US" w:eastAsia="zh-CN"/>
              </w:rPr>
              <w:t>@gmail.com</w:t>
            </w:r>
          </w:p>
          <w:p w14:paraId="3DD4849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求职城市：上海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 xml:space="preserve"> · </w:t>
            </w:r>
            <w:hyperlink r:id="rId31" w:tooltip="作品与工作流：https://leoggg1234.github.io/aigc-portfolio/">
              <w:r>
                <w:rPr>
                  <w:rFonts w:ascii="Helvetica Neue" w:hAnsi="Helvetica Neue" w:eastAsia="Hiragino Sans GB" w:cs="Helvetica Neue"/>
                  <w:b w:val="0"/>
                  <w:color w:val="C85026"/>
                  <w:sz w:val="20"/>
                  <w:lang w:val="en-US" w:eastAsia="zh-CN"/>
                  <w:u w:val="single" w:color="C85026"/>
                </w:rPr>
                <w:t>作品材料 ↗</w:t>
              </w:r>
            </w:hyperlink>
          </w:p>
        </w:tc>
      </w:tr>
    </w:tbl>
    <w:p w14:paraId="0322A879">
      <w:pPr>
        <w:keepLines w:val="0"/>
        <w:widowControl w:val="0"/>
        <w:autoSpaceDE w:val="0"/>
        <w:autoSpaceDN w:val="0"/>
        <w:snapToGrid w:val="0"/>
        <w:spacing w:before="0" w:after="0" w:line="320" w:lineRule="exact"/>
      </w:pPr>
    </w:p>
    <w:p w14:paraId="1284ED0A">
      <w:pPr>
        <w:keepLines w:val="0"/>
        <w:widowControl w:val="0"/>
        <w:pBdr>
          <w:top w:val="single" w:color="FF4F00" w:sz="16" w:space="0"/>
        </w:pBdr>
        <w:autoSpaceDE w:val="0"/>
        <w:autoSpaceDN w:val="0"/>
        <w:snapToGrid w:val="0"/>
        <w:spacing w:before="0" w:after="0" w:line="20" w:lineRule="exact"/>
      </w:pPr>
    </w:p>
    <w:tbl>
      <w:tblPr>
        <w:tblStyle w:val="32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72"/>
        <w:gridCol w:w="227"/>
        <w:gridCol w:w="2239"/>
      </w:tblGrid>
      <w:tr w14:paraId="64CFE70C">
        <w:tc>
          <w:tcPr>
            <w:tcW w:w="717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32"/>
              <w:tblW w:w="7172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17"/>
              <w:gridCol w:w="227"/>
              <w:gridCol w:w="5528"/>
            </w:tblGrid>
            <w:tr w14:paraId="32A607AD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229807A0">
                  <w:pPr>
                    <w:pStyle w:val="3"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16"/>
                      <w:lang w:val="en-US" w:eastAsia="zh-CN"/>
                    </w:rPr>
                    <w:t>个人简介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4CE7F82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7E707E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100" w:line="320" w:lineRule="exact"/>
                  </w:pPr>
                  <w:r>
                    <w:rPr>
                      <w:rFonts w:hint="eastAsia" w:ascii="Helvetica Neue" w:hAnsi="Helvetica Neue" w:eastAsia="Hiragino Sans GB" w:cs="Helvetica Neue"/>
                      <w:b w:val="0"/>
                      <w:bCs w:val="0"/>
                      <w:color w:val="111111"/>
                      <w:sz w:val="20"/>
                      <w:lang w:val="en-US" w:eastAsia="zh-CN"/>
                    </w:rPr>
                    <w:t xml:space="preserve">信息系统硕士，拥有 3 年 AI 工具使用经验，聚焦 AIGC 短剧与视觉创作、ComfyUI 工作流及 LoRA 训练评估。结合信息系统与数据处理背景，关注模型选型、画面控制及新工具在创作中的适用性。</w:t>
                  </w:r>
                </w:p>
                <w:p w14:paraId="6C45B5E3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100" w:line="320" w:lineRule="exact"/>
                  </w:pPr>
                  <w:r>
                    <w:rPr>
                      <w:rFonts w:hint="eastAsia" w:ascii="Helvetica Neue" w:hAnsi="Helvetica Neue" w:eastAsia="Hiragino Sans GB" w:cs="Helvetica Neue"/>
                      <w:b w:val="0"/>
                      <w:bCs w:val="0"/>
                      <w:color w:val="111111"/>
                      <w:sz w:val="20"/>
                      <w:lang w:val="en-US" w:eastAsia="zh-CN"/>
                    </w:rPr>
                    <w:t xml:space="preserve">创作时从故事和镜头目标出发，组织视觉参考与人物表演要求，通过小样检查构图、动作和角色一致性，再推进制作。根据审片结果调整参考、提示词或剪辑，重视镜头衔接、表演自然度和叙事节奏。</w:t>
                  </w:r>
                </w:p>
                <w:p w14:paraId="E7DFD867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hint="eastAsia" w:ascii="Helvetica Neue" w:hAnsi="Helvetica Neue" w:eastAsia="Hiragino Sans GB" w:cs="Helvetica Neue"/>
                      <w:b w:val="0"/>
                      <w:bCs w:val="0"/>
                      <w:color w:val="111111"/>
                      <w:sz w:val="20"/>
                      <w:lang w:val="en-US" w:eastAsia="zh-CN"/>
                    </w:rPr>
                    <w:t xml:space="preserve">与 Codex、Claude Code 等 Agent 协作调试脚本、执行生成与后期。本人把握创作方向、审片和迭代取舍，保留素材、参数与版本记录，分别核对技术规格和画面表现，整理可复用的流程。</w:t>
                  </w:r>
                </w:p>
              </w:tc>
            </w:tr>
            <w:tr w14:paraId="020AE421">
              <w:trPr>
                <w:cantSplit/>
              </w:trPr>
              <w:tc>
                <w:tcPr>
                  <w:tcW w:w="7172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82F0B48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480" w:lineRule="exact"/>
                  </w:pPr>
                </w:p>
              </w:tc>
            </w:tr>
            <w:tr w14:paraId="335B4438">
              <w:trPr>
                <w:cantSplit/>
              </w:trPr>
              <w:tc>
                <w:tcPr>
                  <w:tcW w:w="7172" w:type="dxa"/>
                  <w:gridSpan w:val="3"/>
                  <w:tcBorders>
                    <w:top w:val="single" w:color="444444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684D8E5">
                  <w:pPr>
                    <w:pStyle w:val="3"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16"/>
                      <w:lang w:val="en-US" w:eastAsia="zh-CN"/>
                    </w:rPr>
                    <w:t xml:space="preserve">创作能力与工作流</w:t>
                  </w:r>
                </w:p>
              </w:tc>
            </w:tr>
            <w:tr w14:paraId="1A11B849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55E7821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 xml:space="preserve">短剧创作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DFA31E8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E23AE17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剧本分镜与剪辑</w:t>
                  </w:r>
                </w:p>
                <w:p w14:paraId="27A93A4E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围绕创作目标设计人物、情境与叙事结构，将铺垫、停顿和反转拆成镜头，编排台词、人物进出场及表情转换。</w:t>
                  </w:r>
                </w:p>
                <w:p w14:paraId="49C7788F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用视觉参考与镜头要求约束角色、服装和画面风格，审查生成素材的表演与连续性，定位问题并组织补镜迭代。</w:t>
                  </w:r>
                </w:p>
                <w:p w14:paraId="2178A34D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完成素材筛选、镜头组接、节奏调整、字幕、片尾和声音处理；与 Agent 协作执行生成与后期，根据审片结果选择版本。</w:t>
                  </w:r>
                </w:p>
              </w:tc>
            </w:tr>
            <w:tr w14:paraId="7BDE0371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E681A5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32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 xml:space="preserve">ComfyUI</w:t>
                    <w:br/>
                    <w:t xml:space="preserve">图片生成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91E49B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30A7D83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32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ComfyUI 工作流与生成控制</w:t>
                  </w:r>
                </w:p>
                <w:p w14:paraId="631AE5A3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搭建、调试文生图、图生图及 LoRA 链路，配置基模、VAE、采样与输出参数；实践涉及 SDXL、Anima、Krea 2，排查模型依赖与节点兼容问题。</w:t>
                  </w:r>
                </w:p>
                <w:p w14:paraId="01C2CCC2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结合 ControlNet、FaceDetailer 和超分检查构图、轮廓与局部细节；固定种子比较提示词、LoRA 权重和检查点，保留参数与输出对照。</w:t>
                  </w:r>
                </w:p>
              </w:tc>
            </w:tr>
            <w:tr w14:paraId="560B15B7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2612DA9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32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 xml:space="preserve">视频与流程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AF87152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9BB478F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32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模型选型与 Agent 协作</w:t>
                  </w:r>
                </w:p>
                <w:p w14:paraId="242B09C6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按画面与动作目标选择 Seedance 2.5、Kling 3.0、MiniMax H3、Wan 2.x 等模型，组织参考图、驱动与提示词输入，检查动作同步、镜头变化和角色一致性。与 Codex、Claude Code 协作调试脚本和配置，整理依赖、错误与版本记录；通过输入保护、阶段缓存和输出核对管理处理过程。</w:t>
                  </w:r>
                </w:p>
              </w:tc>
            </w:tr>
          </w:tbl>
          <w:p w14:paraId="14EEF436">
            <w:pPr>
              <w:spacing w:before="0" w:after="0" w:line="20" w:lineRule="exact"/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D61D5B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20" w:lineRule="exact"/>
            </w:pPr>
          </w:p>
        </w:tc>
        <w:tc>
          <w:tcPr>
            <w:tcW w:w="2239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4C14A8">
            <w:pPr>
              <w:pStyle w:val="3"/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16"/>
                <w:lang w:val="en-US" w:eastAsia="zh-CN"/>
              </w:rPr>
              <w:t>核心工具</w:t>
            </w:r>
          </w:p>
          <w:p w14:paraId="6DC3E0F1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生成与控制</w:t>
            </w:r>
          </w:p>
          <w:p w14:paraId="20B8E0D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ComfyUI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" name="Picture 1" descr="ComfyUI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omfyUI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3C53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ControlNet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2" name="Picture 2" descr="ControlNet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ontrolNet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D22E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FaceDetailer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3" name="Picture 3" descr="FaceDetailer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FaceDetailer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3C3EA">
            <w:pPr>
              <w:keepLines w:val="0"/>
              <w:widowControl w:val="0"/>
              <w:autoSpaceDE w:val="0"/>
              <w:autoSpaceDN w:val="0"/>
              <w:snapToGrid w:val="0"/>
              <w:spacing w:before="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视频平台与模型</w:t>
            </w:r>
          </w:p>
          <w:p w14:paraId="4375F96A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Higgsfield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4" name="Picture 4" descr="Higgsfield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Higgsfield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CF44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Seedance 2.5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5" name="Picture 5" descr="Seedance 2.5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eedance 2.5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F259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 xml:space="preserve">Kling 3.0</w:t>
            </w:r>
          </w:p>
          <w:p w14:paraId="2953792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Wan 2.x 系列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7" name="Picture 7" descr="Wan 2.x 系列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Wan 2.x 系列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300D4">
            <w:pPr>
              <w:keepLines w:val="0"/>
              <w:widowControl w:val="0"/>
              <w:autoSpaceDE w:val="0"/>
              <w:autoSpaceDN w:val="0"/>
              <w:snapToGrid w:val="0"/>
              <w:spacing w:before="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图片模型</w:t>
            </w:r>
          </w:p>
          <w:p w14:paraId="7122FC09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SDXL 系列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8" name="Picture 8" descr="SDXL 系列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DXL 系列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F0693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Anima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9" name="Picture 9" descr="Anima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nima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F288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Krea 2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0" name="Picture 10" descr="Krea 2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Krea 2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6B373">
            <w:pPr>
              <w:keepLines w:val="0"/>
              <w:widowControl w:val="0"/>
              <w:autoSpaceDE w:val="0"/>
              <w:autoSpaceDN w:val="0"/>
              <w:snapToGrid w:val="0"/>
              <w:spacing w:before="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预演与后期</w:t>
            </w:r>
          </w:p>
          <w:p w14:paraId="7496A1A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Blender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1" name="Picture 11" descr="Blender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Blender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47483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Photoshop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2" name="Picture 12" descr="Photoshop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Photoshop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5CEA9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DaVinci Resolve </w:t>
            </w:r>
            <w:r>
              <w:drawing>
                <wp:inline distT="0" distB="0" distL="0" distR="0">
                  <wp:extent cx="114300" cy="114300"/>
                  <wp:effectExtent l="0" t="0" r="0" b="0"/>
                  <wp:docPr id="13" name="Picture 13" descr="DaVinci Resolve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DaVinci Resolve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53CB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FFmpeg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4" name="Picture 14" descr="FFmpeg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FFmpeg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AD862">
            <w:pPr>
              <w:keepLines w:val="0"/>
              <w:widowControl w:val="0"/>
              <w:autoSpaceDE w:val="0"/>
              <w:autoSpaceDN w:val="0"/>
              <w:snapToGrid w:val="0"/>
              <w:spacing w:before="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LoRA 训练</w:t>
            </w:r>
          </w:p>
          <w:p w14:paraId="766EB92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Kohya_ss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5" name="Picture 15" descr="Kohya_ss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Kohya_ss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C177C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OneTrainer </w:t>
            </w:r>
            <w:r>
              <w:drawing>
                <wp:inline distT="0" distB="0" distL="0" distR="0">
                  <wp:extent cx="114300" cy="114300"/>
                  <wp:effectExtent l="0" t="0" r="0" b="0"/>
                  <wp:docPr id="16" name="Picture 16" descr="OneTrainer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OneTrainer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9FBCC">
            <w:pPr>
              <w:keepLines w:val="0"/>
              <w:widowControl w:val="0"/>
              <w:autoSpaceDE w:val="0"/>
              <w:autoSpaceDN w:val="0"/>
              <w:snapToGrid w:val="0"/>
              <w:spacing w:before="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AI 辅助开发</w:t>
            </w:r>
          </w:p>
          <w:p w14:paraId="5C7C2F6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Codex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7" name="Picture 17" descr="Codex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Codex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4B375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Claude Code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8" name="Picture 18" descr="Claude Code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Claude Code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9694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Gemini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9" name="Picture 19" descr="Gemini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Gemini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7FB72">
            <w:pPr>
              <w:pStyle w:val="3"/>
              <w:keepLines w:val="0"/>
              <w:widowControl w:val="0"/>
              <w:autoSpaceDE w:val="0"/>
              <w:autoSpaceDN w:val="0"/>
              <w:snapToGrid w:val="0"/>
              <w:spacing w:before="24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16"/>
                <w:lang w:val="en-US" w:eastAsia="zh-CN"/>
              </w:rPr>
              <w:t>教育背景</w:t>
            </w:r>
          </w:p>
          <w:p w14:paraId="63676EB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昆士兰大学</w:t>
            </w:r>
          </w:p>
          <w:p w14:paraId="1C439569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信息系统硕士</w:t>
            </w:r>
          </w:p>
          <w:p w14:paraId="480A749A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中留服认证</w:t>
            </w:r>
          </w:p>
          <w:p w14:paraId="607EDE7C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2024.09–2025.12</w:t>
            </w:r>
          </w:p>
          <w:p w14:paraId="3EB2338A">
            <w:pPr>
              <w:keepLines w:val="0"/>
              <w:widowControl w:val="0"/>
              <w:autoSpaceDE w:val="0"/>
              <w:autoSpaceDN w:val="0"/>
              <w:snapToGrid w:val="0"/>
              <w:spacing w:before="1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北师港浸大（UIC）</w:t>
            </w:r>
          </w:p>
          <w:p w14:paraId="6B8C2D7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电子商务与信息系统</w:t>
            </w:r>
          </w:p>
          <w:p w14:paraId="637DFF9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学士</w:t>
            </w:r>
          </w:p>
          <w:p w14:paraId="312631AA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2019.09–2023.06</w:t>
            </w:r>
          </w:p>
        </w:tc>
      </w:tr>
    </w:tbl>
    <w:p w14:paraId="509B1813">
      <w:pPr>
        <w:keepLines w:val="0"/>
        <w:widowControl w:val="0"/>
        <w:autoSpaceDE w:val="0"/>
        <w:autoSpaceDN w:val="0"/>
        <w:snapToGrid w:val="0"/>
        <w:spacing w:before="0" w:after="0" w:line="20" w:lineRule="exact"/>
      </w:pPr>
      <w:r>
        <w:br w:type="page"/>
      </w:r>
    </w:p>
    <w:p w14:paraId="714354D7">
      <w:pPr>
        <w:keepLines w:val="0"/>
        <w:widowControl w:val="0"/>
        <w:pBdr>
          <w:top w:val="single" w:color="FF4F00" w:sz="16" w:space="0"/>
        </w:pBdr>
        <w:autoSpaceDE w:val="0"/>
        <w:autoSpaceDN w:val="0"/>
        <w:snapToGrid w:val="0"/>
        <w:spacing w:before="0" w:after="0" w:line="20" w:lineRule="exact"/>
      </w:pPr>
    </w:p>
    <w:tbl>
      <w:tblPr>
        <w:tblStyle w:val="32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72"/>
        <w:gridCol w:w="227"/>
        <w:gridCol w:w="2239"/>
      </w:tblGrid>
      <w:tr w14:paraId="48ACE213">
        <w:tc>
          <w:tcPr>
            <w:tcW w:w="717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32"/>
              <w:tblW w:w="7172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17"/>
              <w:gridCol w:w="227"/>
              <w:gridCol w:w="5528"/>
            </w:tblGrid>
            <w:tr w14:paraId="2D927766">
              <w:trPr>
                <w:cantSplit/>
              </w:trPr>
              <w:tc>
                <w:tcPr>
                  <w:tcW w:w="7172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2CF488F5">
                  <w:pPr>
                    <w:pStyle w:val="3"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hint="eastAsia" w:cs="Helvetica Neue"/>
                      <w:b/>
                      <w:color w:val="111111"/>
                      <w:sz w:val="16"/>
                      <w:lang w:val="en-US" w:eastAsia="zh-CN"/>
                    </w:rPr>
                    <w:t xml:space="preserve">项目经历</w:t>
                  </w:r>
                </w:p>
              </w:tc>
            </w:tr>
            <w:tr w14:paraId="F9A9A538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37D358A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 xml:space="preserve">短片创作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ADB4ABF3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D7CE716D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AI 足球戏仿短片｜创意分镜与剪辑</w:t>
                  </w:r>
                </w:p>
                <w:p w14:paraId="FDA0A3B6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《Other Areas》：64 秒 1080p 完整短片，以赛后采访、更衣室密谋和破门打断组织反转，调整人物表情与剪辑停顿。</w:t>
                  </w:r>
                </w:p>
                <w:p w14:paraId="FD95C0A1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《Who Is Yamal?》：26 秒完整短片，以采访、人物显现和赛后反差组织笑点，组合不同版本的台词与显现镜头。</w:t>
                  </w:r>
                </w:p>
                <w:p w14:paraId="875161BC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负责创意方向、分镜、视觉参考、表演要求与审片取舍；与 Agent 协作完成生成执行、字幕、音效及 FFmpeg 剪辑。</w:t>
                  </w:r>
                </w:p>
              </w:tc>
            </w:tr>
            <w:tr w14:paraId="24D53529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C2DDA3C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2026.10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DE54EB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18EF0D3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《雨停之前》｜叙事开场与后期流程</w:t>
                  </w:r>
                </w:p>
                <w:p w14:paraId="556E8D3B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负责创意、分镜、美术参考与审片；与 Agent 协作组织 Blender 预演和生成输入，完成 43 秒叙事开场。</w:t>
                  </w:r>
                </w:p>
                <w:p w14:paraId="7A8A8538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bookmarkStart w:id="0" w:name="_GoBack"/>
                  <w:bookmarkEnd w:id="0"/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针对电视画面与音频接缝完成本地后期适配，保留素材、参数与处理前后对照，区分技术核验和审美判断。</w:t>
                  </w:r>
                </w:p>
              </w:tc>
            </w:tr>
            <w:tr w14:paraId="58D68D54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986239B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2026.10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4F83AC6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88D0C5F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《The Bass》｜崩铁记忆队 MMD</w:t>
                  </w:r>
                </w:p>
                <w:p w14:paraId="204F4911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完成 15.33 秒四角色 MMD 成片（720 × 1280 / 30fps），采用 PMX / VMD 与 Blender 制作，围绕镜头切换、表情、光影及局部接触修订。</w:t>
                  </w:r>
                </w:p>
                <w:p w14:paraId="615F6763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本人负责角色与视觉要求、审片和版本取舍，与 Agent 协作完成工程及后期；另有 13 秒 3D 驱动 AI 动作实验，保留参数与对照。</w:t>
                  </w:r>
                </w:p>
              </w:tc>
            </w:tr>
            <w:tr w14:paraId="0559BB6E">
              <w:trPr>
                <w:cantSplit/>
                <w:trHeight w:val="1233" w:hRule="atLeast"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3C0F8CE6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2026.09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BC01912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67383B2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小样本角色 LoRA｜训练、测试与交接</w:t>
                  </w:r>
                </w:p>
                <w:p w14:paraId="1882BD51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用 Kohya_ss 完成 Illustrious XL 角色 LoRA 训练：15 对图文、1500 步；比较检查点、权重与提示词，归档 16 张历史样图。</w:t>
                  </w:r>
                </w:p>
                <w:p w14:paraId="42483C62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搭建、调试 ComfyUI 推理链路；与 AI 助手协作整理配置、依赖与 README，通过路径、哈希和图结构校验。</w:t>
                  </w:r>
                </w:p>
              </w:tc>
            </w:tr>
            <w:tr w14:paraId="16312B5F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BE5D750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2026.08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4B35D19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637B223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风格 LoRA｜OneTrainer 实践</w:t>
                  </w:r>
                </w:p>
                <w:p w14:paraId="17D2EB4E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使用 OneTrainer 对 40 组图文样本完成 800 步风格 LoRA 训练，整理触发词与标签，保留配置、诊断样张和阶段模型。</w:t>
                  </w:r>
                </w:p>
                <w:p w14:paraId="2ADEB385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固定 Prompt 与种子比较训练阶段，区分画风特征和角色偏置；观察到后期内容服从下降与过拟合倾向，提出同条件补测方案。</w:t>
                  </w:r>
                </w:p>
              </w:tc>
            </w:tr>
            <w:tr w14:paraId="4FB44E61">
              <w:trPr>
                <w:cantSplit/>
              </w:trPr>
              <w:tc>
                <w:tcPr>
                  <w:tcW w:w="7172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54D7FA8">
                  <w:pPr>
                    <w:pStyle w:val="3"/>
                    <w:keepLines w:val="0"/>
                    <w:widowControl w:val="0"/>
                    <w:pBdr>
                      <w:top w:val="single" w:color="444444" w:sz="2" w:space="0"/>
                    </w:pBdr>
                    <w:autoSpaceDE w:val="0"/>
                    <w:autoSpaceDN w:val="0"/>
                    <w:snapToGrid w:val="0"/>
                    <w:spacing w:before="320" w:after="0" w:line="320" w:lineRule="exact"/>
                    <w:rPr>
                      <w:rFonts w:hint="default"/>
                      <w:lang w:val="en-US"/>
                    </w:rPr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16"/>
                      <w:lang w:val="en-US" w:eastAsia="zh-CN"/>
                    </w:rPr>
                    <w:t>工作</w:t>
                  </w:r>
                  <w:r>
                    <w:rPr>
                      <w:rFonts w:hint="eastAsia" w:cs="Helvetica Neue"/>
                      <w:b/>
                      <w:color w:val="111111"/>
                      <w:sz w:val="16"/>
                      <w:lang w:val="en-US" w:eastAsia="zh-CN"/>
                    </w:rPr>
                    <w:t>经历</w:t>
                  </w:r>
                </w:p>
              </w:tc>
            </w:tr>
            <w:tr w14:paraId="001ADE0C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632D5E2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2026.04–2026.05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491A28C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351DC470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bCs/>
                      <w:color w:val="111111"/>
                      <w:sz w:val="20"/>
                      <w:lang w:val="en-US" w:eastAsia="zh-CN"/>
                    </w:rPr>
                    <w:t>上海硕恩网络科技股份有限公司｜数据分析师</w:t>
                  </w:r>
                </w:p>
                <w:p w14:paraId="64F65F2C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szCs w:val="16"/>
                      <w:lang w:val="en-US" w:eastAsia="zh-CN"/>
                    </w:rPr>
                    <w:t>开展多源</w:t>
                  </w:r>
                  <w:r>
                    <w:rPr>
                      <w:rFonts w:hint="eastAsia" w:cs="Helvetica Neue"/>
                      <w:b w:val="0"/>
                      <w:color w:val="111111"/>
                      <w:sz w:val="16"/>
                      <w:szCs w:val="16"/>
                      <w:lang w:val="en-US" w:eastAsia="zh-CN"/>
                    </w:rPr>
                    <w:t>标讯</w:t>
                  </w: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szCs w:val="16"/>
                      <w:lang w:val="en-US" w:eastAsia="zh-CN"/>
                    </w:rPr>
                    <w:t>数据整理与治理，处理模型在既有系统中的交付适配问题。</w:t>
                  </w:r>
                </w:p>
              </w:tc>
            </w:tr>
            <w:tr w14:paraId="0EF64CD3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1CB7C3D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6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2024.11–2025.01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6ED38F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56B073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6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中国移动（哈尔滨）｜网络侧项目支持（实习）</w:t>
                  </w:r>
                </w:p>
              </w:tc>
            </w:tr>
            <w:tr w14:paraId="3BB6D74F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F510BA6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2022.01–2022.02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3CD9ACDC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BFE5939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华为（</w:t>
                  </w:r>
                  <w:r>
                    <w:rPr>
                      <w:rFonts w:hint="eastAsia" w:cs="Helvetica Neue"/>
                      <w:b w:val="0"/>
                      <w:color w:val="111111"/>
                      <w:sz w:val="20"/>
                      <w:lang w:val="en-US" w:eastAsia="zh-CN"/>
                    </w:rPr>
                    <w:t>哈尔滨</w:t>
                  </w: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）｜5G ToB 数字化转型支持（实习）</w:t>
                  </w:r>
                </w:p>
              </w:tc>
            </w:tr>
            <w:tr w14:paraId="7444E98F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BB2CEE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2021.07–2021.08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4085E97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629102B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中兴（</w:t>
                  </w:r>
                  <w:r>
                    <w:rPr>
                      <w:rFonts w:hint="eastAsia" w:cs="Helvetica Neue"/>
                      <w:b w:val="0"/>
                      <w:color w:val="111111"/>
                      <w:sz w:val="20"/>
                      <w:lang w:val="en-US" w:eastAsia="zh-CN"/>
                    </w:rPr>
                    <w:t>齐齐哈尔</w:t>
                  </w: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）｜数字化咨询助理（实习）</w:t>
                  </w:r>
                </w:p>
              </w:tc>
            </w:tr>
          </w:tbl>
          <w:p w14:paraId="0DC602C1">
            <w:pPr>
              <w:spacing w:before="0" w:after="0" w:line="20" w:lineRule="exact"/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3875C9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20" w:lineRule="exact"/>
            </w:pPr>
          </w:p>
        </w:tc>
        <w:tc>
          <w:tcPr>
            <w:tcW w:w="2239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0BC5ED">
            <w:pPr>
              <w:pStyle w:val="3"/>
              <w:keepLines w:val="0"/>
              <w:widowControl w:val="0"/>
              <w:autoSpaceDE w:val="0"/>
              <w:autoSpaceDN w:val="0"/>
              <w:snapToGrid w:val="0"/>
              <w:spacing w:before="32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16"/>
                <w:lang w:val="en-US" w:eastAsia="zh-CN"/>
              </w:rPr>
              <w:t>开发与调试</w:t>
            </w:r>
          </w:p>
          <w:p w14:paraId="50FBD02B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Python 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88900" cy="88900"/>
                  <wp:effectExtent l="0" t="0" r="0" b="0"/>
                  <wp:docPr id="20" name="Picture 20" descr="Python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Python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 xml:space="preserve"> </w:t>
            </w:r>
          </w:p>
          <w:p w14:paraId="4D50657A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TypeScript 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88900" cy="88900"/>
                  <wp:effectExtent l="0" t="0" r="0" b="0"/>
                  <wp:docPr id="21" name="Picture 21" descr="TypeScript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TypeScript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7D9C5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AI 辅助脚本开发与调试</w:t>
            </w:r>
          </w:p>
          <w:p w14:paraId="54639CB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节点与模型兼容问题排查</w:t>
            </w:r>
          </w:p>
          <w:p w14:paraId="335DF998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Git 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88900" cy="88900"/>
                  <wp:effectExtent l="0" t="0" r="0" b="0"/>
                  <wp:docPr id="22" name="Picture 22" descr="Git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Git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 xml:space="preserve"> </w:t>
            </w:r>
          </w:p>
          <w:p w14:paraId="583B5FB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GitHub 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88900" cy="88900"/>
                  <wp:effectExtent l="0" t="0" r="0" b="0"/>
                  <wp:docPr id="23" name="Picture 23" descr="GitHub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GitHub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4BC9C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版本管理与项目归档</w:t>
            </w:r>
          </w:p>
          <w:p w14:paraId="1927D9E0">
            <w:pPr>
              <w:pStyle w:val="3"/>
              <w:keepLines w:val="0"/>
              <w:widowControl w:val="0"/>
              <w:autoSpaceDE w:val="0"/>
              <w:autoSpaceDN w:val="0"/>
              <w:snapToGrid w:val="0"/>
              <w:spacing w:before="32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16"/>
                <w:lang w:val="en-US" w:eastAsia="zh-CN"/>
              </w:rPr>
              <w:t>工作方式</w:t>
            </w:r>
          </w:p>
          <w:p w14:paraId="351C23C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需求拆解：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明确镜头目标、视觉参考、输入素材及生成约束。</w:t>
            </w:r>
          </w:p>
          <w:p w14:paraId="1EFC1C6B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小样验证：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先用静帧或短片检查构图与动作，再推进后续流程。</w:t>
            </w:r>
          </w:p>
          <w:p w14:paraId="32224B89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结果检查：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分项查看角色一致性、画面结构、动作表现及输出规格。</w:t>
            </w:r>
          </w:p>
          <w:p w14:paraId="216ADE9E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问题定位：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区分输入、3D 驱动、生成与后期问题，定向调整并保留版本。</w:t>
            </w:r>
          </w:p>
          <w:p w14:paraId="1A2B4376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  <w:rPr>
                <w:rFonts w:hint="eastAsia"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</w:pPr>
            <w:r>
              <w:rPr>
                <w:rFonts w:hint="eastAsia" w:ascii="Hiragino Sans GB W6" w:hAnsi="Hiragino Sans GB W6" w:eastAsia="Hiragino Sans GB W6" w:cs="Hiragino Sans GB W6"/>
                <w:b/>
                <w:bCs/>
                <w:color w:val="111111"/>
                <w:sz w:val="20"/>
                <w:lang w:val="en-US" w:eastAsia="zh-CN"/>
              </w:rPr>
              <w:t>持续探索：</w:t>
            </w:r>
            <w:r>
              <w:rPr>
                <w:rFonts w:hint="eastAsia"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跟进前沿模型、工具及 AI 工作方式，结合具体任务测试适用性，整理可复用的操作经验。</w:t>
            </w:r>
          </w:p>
          <w:p w14:paraId="7340AD48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  <w:rPr>
                <w:rFonts w:hint="eastAsia"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</w:pPr>
          </w:p>
          <w:p w14:paraId="615C1927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hint="eastAsia" w:cs="Helvetica Neue"/>
                <w:b/>
                <w:color w:val="111111"/>
                <w:sz w:val="16"/>
                <w:lang w:val="en-US" w:eastAsia="zh-CN"/>
              </w:rPr>
            </w:pPr>
            <w:r>
              <w:rPr>
                <w:rFonts w:hint="eastAsia" w:cs="Helvetica Neue"/>
                <w:b/>
                <w:color w:val="111111"/>
                <w:sz w:val="16"/>
                <w:lang w:val="en-US" w:eastAsia="zh-CN"/>
              </w:rPr>
              <w:t>其他</w:t>
            </w:r>
          </w:p>
          <w:p w14:paraId="42840328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hint="default"/>
                <w:lang w:val="en-US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英语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能力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：技术及学术阅读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与沟通</w:t>
            </w:r>
          </w:p>
          <w:p w14:paraId="1380BF97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ACAA 数字图像工程师</w:t>
            </w:r>
          </w:p>
          <w:p w14:paraId="4C116065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钢琴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演奏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：中央音乐学院</w:t>
            </w:r>
          </w:p>
          <w:p w14:paraId="14BAC34C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hint="default"/>
                <w:lang w:val="en-US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演奏级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水平</w:t>
            </w:r>
          </w:p>
        </w:tc>
      </w:tr>
    </w:tbl>
    <w:p w14:paraId="36112625">
      <w:pPr>
        <w:keepLines w:val="0"/>
        <w:widowControl w:val="0"/>
        <w:autoSpaceDE w:val="0"/>
        <w:autoSpaceDN w:val="0"/>
        <w:snapToGrid w:val="0"/>
        <w:spacing w:before="0" w:after="0" w:line="20" w:lineRule="exact"/>
      </w:pPr>
    </w:p>
    <w:sectPr>
      <w:pgSz w:w="11906" w:h="16838"/>
      <w:pgMar w:top="1134" w:right="1134" w:bottom="1134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 W6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E0E04"/>
    <w:multiLevelType w:val="singleLevel"/>
    <w:tmpl w:val="CFEE0E04"/>
    <w:lvl w:ilvl="0" w:tentative="0">
      <w:start w:val="1"/>
      <w:numFmt w:val="bullet"/>
      <w:lvlText w:val="-"/>
      <w:lvlJc w:val="left"/>
      <w:pPr>
        <w:tabs>
          <w:tab w:val="left" w:pos="0"/>
        </w:tabs>
        <w:ind w:left="0" w:hanging="160"/>
      </w:pPr>
      <w:rPr>
        <w:rFonts w:ascii="Helvetica Neue" w:hAnsi="Helvetica Neue" w:eastAsia="Hiragino Sans GB" w:cs="Helvetica Neue"/>
        <w:sz w:val="20"/>
        <w:lang w:val="en-US" w:eastAsia="zh-CN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BF9349"/>
    <w:rsid w:val="DFF98D45"/>
    <w:rsid w:val="F2FE3E59"/>
    <w:rsid w:val="FB8F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20" w:lineRule="exact"/>
    </w:pPr>
    <w:rPr>
      <w:rFonts w:ascii="Helvetica Neue" w:hAnsi="Helvetica Neue" w:eastAsia="Hiragino Sans GB" w:cs="Helvetica Neue"/>
      <w:color w:val="111111"/>
      <w:sz w:val="20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 w:val="0"/>
      <w:spacing w:before="0" w:after="0" w:line="320" w:lineRule="exact"/>
      <w:outlineLvl w:val="0"/>
    </w:pPr>
    <w:rPr>
      <w:rFonts w:ascii="Helvetica Neue" w:hAnsi="Helvetica Neue" w:eastAsia="Hiragino Sans GB" w:cstheme="majorBidi"/>
      <w:b/>
      <w:bCs/>
      <w:color w:val="111111"/>
      <w:sz w:val="16"/>
      <w:szCs w:val="28"/>
      <w:lang w:val="en-US" w:eastAsia="zh-CN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 w:val="0"/>
      <w:spacing w:before="0" w:after="0" w:line="320" w:lineRule="exact"/>
      <w:outlineLvl w:val="1"/>
    </w:pPr>
    <w:rPr>
      <w:rFonts w:ascii="Helvetica Neue" w:hAnsi="Helvetica Neue" w:eastAsia="Hiragino Sans GB" w:cstheme="majorBidi"/>
      <w:b/>
      <w:bCs/>
      <w:color w:val="111111"/>
      <w:sz w:val="20"/>
      <w:szCs w:val="26"/>
      <w:lang w:val="en-US" w:eastAsia="zh-CN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 w:val="0"/>
      <w:spacing w:before="0" w:after="0" w:line="1120" w:lineRule="exact"/>
      <w:contextualSpacing/>
    </w:pPr>
    <w:rPr>
      <w:rFonts w:ascii="Helvetica Neue" w:hAnsi="Helvetica Neue" w:eastAsia="Hiragino Sans GB" w:cstheme="majorBidi"/>
      <w:b/>
      <w:color w:val="111111"/>
      <w:spacing w:val="5"/>
      <w:kern w:val="28"/>
      <w:sz w:val="88"/>
      <w:szCs w:val="52"/>
      <w:lang w:val="en-US" w:eastAsia="zh-CN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31" Type="http://schemas.openxmlformats.org/officeDocument/2006/relationships/hyperlink" Target="https://leoggg1234.github.io/aigc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2013-12-25T02:15:00Z</dcterms:created>
  <dc:creator>Leo</dc:creator>
  <dc:description>generated by python-docx</dc:description>
  <cp:lastModifiedBy>每日坚果</cp:lastModifiedBy>
  <dcterms:modified xsi:type="dcterms:W3CDTF">2026-10-17T03:21:14Z</dcterms:modified>
  <dc:subject>中文可编辑简历</dc:subject>
  <dc:title>葛津亦 AIGC视频创作与视觉工作流 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A10F73D93435ABFF2285D16AD100F401_43</vt:lpwstr>
  </property>
</Properties>
</file>