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0" w:name="content"/>
    <w:bookmarkStart w:id="29" w:name="Xeb496246dbbc04cfd34052d6816f2a88eacad3b"/>
    <w:p>
      <w:pPr>
        <w:pStyle w:val="Heading1"/>
      </w:pPr>
      <w:r>
        <w:t xml:space="preserve">5-Year Financial Projections for AEGIS/Wraith</w:t>
      </w:r>
    </w:p>
    <w:bookmarkStart w:id="25" w:name="assumptions-and-inputs"/>
    <w:p>
      <w:pPr>
        <w:pStyle w:val="Heading2"/>
      </w:pPr>
      <w:r>
        <w:t xml:space="preserve">Assumptions and Inputs</w:t>
      </w:r>
    </w:p>
    <w:p>
      <w:pPr>
        <w:pStyle w:val="Compact"/>
        <w:numPr>
          <w:ilvl w:val="0"/>
          <w:numId w:val="1001"/>
        </w:numPr>
      </w:pPr>
      <w:r>
        <w:rPr>
          <w:b/>
          <w:bCs/>
        </w:rPr>
        <w:t xml:space="preserve">Wraith Hardware Unit Price:</w:t>
      </w:r>
      <w:r>
        <w:t xml:space="preserve"> </w:t>
      </w:r>
      <w:r>
        <w:t xml:space="preserve">We assume a selling price of</w:t>
      </w:r>
      <w:r>
        <w:t xml:space="preserve"> </w:t>
      </w:r>
      <w:r>
        <w:rPr>
          <w:b/>
          <w:bCs/>
        </w:rPr>
        <w:t xml:space="preserve">$1,000 per Wraith unit</w:t>
      </w:r>
      <w:r>
        <w:t xml:space="preserve">. This price point reflects a premium hardware device (e.g. an advanced drone or AR system) and provides room for healthy margins while remaining attractive to early adopters.</w:t>
      </w:r>
    </w:p>
    <w:p>
      <w:pPr>
        <w:pStyle w:val="Compact"/>
        <w:numPr>
          <w:ilvl w:val="0"/>
          <w:numId w:val="1001"/>
        </w:numPr>
      </w:pPr>
      <w:r>
        <w:rPr>
          <w:b/>
          <w:bCs/>
        </w:rPr>
        <w:t xml:space="preserve">Annual SaaS &amp; Support Fee:</w:t>
      </w:r>
      <w:r>
        <w:t xml:space="preserve"> </w:t>
      </w:r>
      <w:r>
        <w:t xml:space="preserve">Each unit is assumed to carry an</w:t>
      </w:r>
      <w:r>
        <w:t xml:space="preserve"> </w:t>
      </w:r>
      <w:r>
        <w:rPr>
          <w:b/>
          <w:bCs/>
        </w:rPr>
        <w:t xml:space="preserve">annual SaaS “command &amp; control” subscription of $300</w:t>
      </w:r>
      <w:r>
        <w:t xml:space="preserve"> </w:t>
      </w:r>
      <w:r>
        <w:t xml:space="preserve">(which includes cloud services and maintenance/support). This creates a recurring revenue stream from every deployed unit, improving business stability and investor appeal</w:t>
      </w:r>
      <w:hyperlink r:id="rId21">
        <w:r>
          <w:rPr>
            <w:rStyle w:val="Hyperlink"/>
          </w:rPr>
          <w:t xml:space="preserve">[1]</w:t>
        </w:r>
      </w:hyperlink>
      <w:r>
        <w:t xml:space="preserve">. The $300/year rate (≈$25/month) is reasonable for enterprise-grade software access and support.</w:t>
      </w:r>
    </w:p>
    <w:p>
      <w:pPr>
        <w:pStyle w:val="Compact"/>
        <w:numPr>
          <w:ilvl w:val="0"/>
          <w:numId w:val="1001"/>
        </w:numPr>
      </w:pPr>
      <w:r>
        <w:rPr>
          <w:b/>
          <w:bCs/>
        </w:rPr>
        <w:t xml:space="preserve">Catalog Products &amp; Pricing:</w:t>
      </w:r>
      <w:r>
        <w:t xml:space="preserve"> </w:t>
      </w:r>
      <w:r>
        <w:t xml:space="preserve">In addition to hardware, AEGIS offers a</w:t>
      </w:r>
      <w:r>
        <w:t xml:space="preserve"> </w:t>
      </w:r>
      <w:r>
        <w:rPr>
          <w:b/>
          <w:bCs/>
        </w:rPr>
        <w:t xml:space="preserve">catalog of add-ons in 4 categories</w:t>
      </w:r>
      <w:r>
        <w:t xml:space="preserve"> </w:t>
      </w:r>
      <w:r>
        <w:t xml:space="preserve">(e.g. accessories, upgrades, software modules, premium hardware). We assumed:</w:t>
      </w:r>
    </w:p>
    <w:p>
      <w:pPr>
        <w:pStyle w:val="Compact"/>
        <w:numPr>
          <w:ilvl w:val="0"/>
          <w:numId w:val="1001"/>
        </w:numPr>
      </w:pPr>
      <w:r>
        <w:rPr>
          <w:i/>
          <w:iCs/>
        </w:rPr>
        <w:t xml:space="preserve">Category A (Low-cost accessories):</w:t>
      </w:r>
      <w:r>
        <w:t xml:space="preserve"> </w:t>
      </w:r>
      <w:r>
        <w:t xml:space="preserve">Average price ~$100 per item.</w:t>
      </w:r>
    </w:p>
    <w:p>
      <w:pPr>
        <w:pStyle w:val="Compact"/>
        <w:numPr>
          <w:ilvl w:val="0"/>
          <w:numId w:val="1001"/>
        </w:numPr>
      </w:pPr>
      <w:r>
        <w:rPr>
          <w:i/>
          <w:iCs/>
        </w:rPr>
        <w:t xml:space="preserve">Category B (Mid-range add-ons):</w:t>
      </w:r>
      <w:r>
        <w:t xml:space="preserve"> </w:t>
      </w:r>
      <w:r>
        <w:t xml:space="preserve">Avg. ~$200 per item.</w:t>
      </w:r>
    </w:p>
    <w:p>
      <w:pPr>
        <w:pStyle w:val="Compact"/>
        <w:numPr>
          <w:ilvl w:val="0"/>
          <w:numId w:val="1001"/>
        </w:numPr>
      </w:pPr>
      <w:r>
        <w:rPr>
          <w:i/>
          <w:iCs/>
        </w:rPr>
        <w:t xml:space="preserve">Category C (Software/content modules):</w:t>
      </w:r>
      <w:r>
        <w:t xml:space="preserve"> </w:t>
      </w:r>
      <w:r>
        <w:t xml:space="preserve">Avg. ~$300 per item.</w:t>
      </w:r>
    </w:p>
    <w:p>
      <w:pPr>
        <w:pStyle w:val="Compact"/>
        <w:numPr>
          <w:ilvl w:val="0"/>
          <w:numId w:val="1001"/>
        </w:numPr>
      </w:pPr>
      <w:r>
        <w:rPr>
          <w:i/>
          <w:iCs/>
        </w:rPr>
        <w:t xml:space="preserve">Category D (Premium upgrades):</w:t>
      </w:r>
      <w:r>
        <w:t xml:space="preserve"> </w:t>
      </w:r>
      <w:r>
        <w:t xml:space="preserve">Avg. ~$1,000 per item (high-end modules or hardware upgrades).</w:t>
      </w:r>
      <w:r>
        <w:br/>
      </w:r>
      <w:r>
        <w:t xml:space="preserve">These price points reflect increasing value across categories, from small accessories to major upgrades.</w:t>
      </w:r>
    </w:p>
    <w:p>
      <w:pPr>
        <w:pStyle w:val="Compact"/>
        <w:numPr>
          <w:ilvl w:val="0"/>
          <w:numId w:val="1001"/>
        </w:numPr>
      </w:pPr>
      <w:r>
        <w:rPr>
          <w:b/>
          <w:bCs/>
        </w:rPr>
        <w:t xml:space="preserve">Catalog Sales Volume:</w:t>
      </w:r>
      <w:r>
        <w:t xml:space="preserve"> </w:t>
      </w:r>
      <w:r>
        <w:t xml:space="preserve">We project that a fraction of the installed base will purchase catalog items each year. Initial</w:t>
      </w:r>
      <w:r>
        <w:t xml:space="preserve"> </w:t>
      </w:r>
      <w:r>
        <w:rPr>
          <w:b/>
          <w:bCs/>
        </w:rPr>
        <w:t xml:space="preserve">attach rates</w:t>
      </w:r>
      <w:r>
        <w:t xml:space="preserve"> </w:t>
      </w:r>
      <w:r>
        <w:t xml:space="preserve">are estimated at ~50% for Category A, 30% for B, 20% for C, and 5% for D. In Year1 (with few units in the field), this means only dozens of add-on sales, but as the user base grows, catalog sales scale up significantly. (For example, by Year5 with thousands of units deployed, hundreds of premium upgrades might be sold.) We assumed no significant pricing changes over 5 years, focusing on volume growth.</w:t>
      </w:r>
    </w:p>
    <w:p>
      <w:pPr>
        <w:pStyle w:val="Compact"/>
        <w:numPr>
          <w:ilvl w:val="0"/>
          <w:numId w:val="1001"/>
        </w:numPr>
      </w:pPr>
      <w:r>
        <w:rPr>
          <w:b/>
          <w:bCs/>
        </w:rPr>
        <w:t xml:space="preserve">Hardware COGS per Unit:</w:t>
      </w:r>
      <w:r>
        <w:t xml:space="preserve"> </w:t>
      </w:r>
      <w:r>
        <w:t xml:space="preserve">The cost to produce a Wraith unit is estimated at</w:t>
      </w:r>
      <w:r>
        <w:t xml:space="preserve"> </w:t>
      </w:r>
      <w:r>
        <w:rPr>
          <w:b/>
          <w:bCs/>
        </w:rPr>
        <w:t xml:space="preserve">$600 in Year1</w:t>
      </w:r>
      <w:r>
        <w:t xml:space="preserve">, steadily improving to</w:t>
      </w:r>
      <w:r>
        <w:t xml:space="preserve"> </w:t>
      </w:r>
      <w:r>
        <w:rPr>
          <w:b/>
          <w:bCs/>
        </w:rPr>
        <w:t xml:space="preserve">$300 by Year5</w:t>
      </w:r>
      <w:r>
        <w:t xml:space="preserve"> </w:t>
      </w:r>
      <w:r>
        <w:t xml:space="preserve">as manufacturing scales. This implies gross margins rising from 40% to 70% on hardware – approaching the ~30% COGS rule-of-thumb for hardware startups</w:t>
      </w:r>
      <w:hyperlink r:id="rId22">
        <w:r>
          <w:rPr>
            <w:rStyle w:val="Hyperlink"/>
          </w:rPr>
          <w:t xml:space="preserve">[2]</w:t>
        </w:r>
      </w:hyperlink>
      <w:r>
        <w:t xml:space="preserve">. Early on, low production volume and startup inefficiencies mean higher unit costs, but by Year5 we assume efficiencies and possibly economies of scale (or cost optimizations) have lowered unit cost substantially.</w:t>
      </w:r>
    </w:p>
    <w:p>
      <w:pPr>
        <w:pStyle w:val="Compact"/>
        <w:numPr>
          <w:ilvl w:val="0"/>
          <w:numId w:val="1001"/>
        </w:numPr>
      </w:pPr>
      <w:r>
        <w:rPr>
          <w:b/>
          <w:bCs/>
        </w:rPr>
        <w:t xml:space="preserve">Catalog Margins:</w:t>
      </w:r>
      <w:r>
        <w:t xml:space="preserve"> </w:t>
      </w:r>
      <w:r>
        <w:t xml:space="preserve">We assume</w:t>
      </w:r>
      <w:r>
        <w:t xml:space="preserve"> </w:t>
      </w:r>
      <w:r>
        <w:rPr>
          <w:b/>
          <w:bCs/>
        </w:rPr>
        <w:t xml:space="preserve">approximately 50% gross margin</w:t>
      </w:r>
      <w:r>
        <w:t xml:space="preserve"> </w:t>
      </w:r>
      <w:r>
        <w:t xml:space="preserve">on physical add-ons (Categories A and B), since these involve manufacturing or inventory costs.</w:t>
      </w:r>
      <w:r>
        <w:t xml:space="preserve"> </w:t>
      </w:r>
      <w:r>
        <w:rPr>
          <w:b/>
          <w:bCs/>
        </w:rPr>
        <w:t xml:space="preserve">Software/content (Category C) is high-margin (~80%)</w:t>
      </w:r>
      <w:r>
        <w:t xml:space="preserve">, with minimal per-unit cost beyond development.</w:t>
      </w:r>
      <w:r>
        <w:t xml:space="preserve"> </w:t>
      </w:r>
      <w:r>
        <w:rPr>
          <w:b/>
          <w:bCs/>
        </w:rPr>
        <w:t xml:space="preserve">Premium upgrades (Category D)</w:t>
      </w:r>
      <w:r>
        <w:t xml:space="preserve"> </w:t>
      </w:r>
      <w:r>
        <w:t xml:space="preserve">are assumed ~50-60% margin (they might include hardware kits or specialized components). These assumptions yield a blended gross profit for catalog sales that grows as software content (high margin) becomes a bigger share.</w:t>
      </w:r>
    </w:p>
    <w:p>
      <w:pPr>
        <w:pStyle w:val="Compact"/>
        <w:numPr>
          <w:ilvl w:val="0"/>
          <w:numId w:val="1001"/>
        </w:numPr>
      </w:pPr>
      <w:r>
        <w:rPr>
          <w:b/>
          <w:bCs/>
        </w:rPr>
        <w:t xml:space="preserve">Cloud/Telemetry Costs:</w:t>
      </w:r>
      <w:r>
        <w:t xml:space="preserve"> </w:t>
      </w:r>
      <w:r>
        <w:t xml:space="preserve">Cloud infrastructure and data telemetry costs (to support the SaaS platform) are treated as</w:t>
      </w:r>
      <w:r>
        <w:t xml:space="preserve"> </w:t>
      </w:r>
      <w:r>
        <w:rPr>
          <w:b/>
          <w:bCs/>
        </w:rPr>
        <w:t xml:space="preserve">COGS</w:t>
      </w:r>
      <w:r>
        <w:t xml:space="preserve"> </w:t>
      </w:r>
      <w:r>
        <w:t xml:space="preserve">rather than OpEx. This is because they scale directly with the number of units/customers (e.g. hosting, data storage, and support are part of delivering the service)</w:t>
      </w:r>
      <w:hyperlink r:id="rId23">
        <w:r>
          <w:rPr>
            <w:rStyle w:val="Hyperlink"/>
          </w:rPr>
          <w:t xml:space="preserve">[3]</w:t>
        </w:r>
      </w:hyperlink>
      <w:r>
        <w:t xml:space="preserve">. We built in an estimated ~$60 per unit per year in cloud/support cost (about 20% of the $300 SaaS fee), yielding ~80% gross margin on SaaS. (Industry benchmarks consider ~75–80% gross margin healthy for SaaS</w:t>
      </w:r>
      <w:hyperlink r:id="rId24">
        <w:r>
          <w:rPr>
            <w:rStyle w:val="Hyperlink"/>
          </w:rPr>
          <w:t xml:space="preserve">[4]</w:t>
        </w:r>
      </w:hyperlink>
      <w:r>
        <w:t xml:space="preserve">, so our assumption aligns with a sustainable model.)</w:t>
      </w:r>
    </w:p>
    <w:p>
      <w:pPr>
        <w:pStyle w:val="Compact"/>
        <w:numPr>
          <w:ilvl w:val="0"/>
          <w:numId w:val="1001"/>
        </w:numPr>
      </w:pPr>
      <w:r>
        <w:rPr>
          <w:b/>
          <w:bCs/>
        </w:rPr>
        <w:t xml:space="preserve">Operating Expenses (R&amp;D, S&amp;M, G&amp;A):</w:t>
      </w:r>
      <w:r>
        <w:t xml:space="preserve"> </w:t>
      </w:r>
      <w:r>
        <w:t xml:space="preserve">We assume</w:t>
      </w:r>
      <w:r>
        <w:t xml:space="preserve"> </w:t>
      </w:r>
      <w:r>
        <w:rPr>
          <w:b/>
          <w:bCs/>
        </w:rPr>
        <w:t xml:space="preserve">substantial R&amp;D investment in early years</w:t>
      </w:r>
      <w:r>
        <w:t xml:space="preserve"> </w:t>
      </w:r>
      <w:r>
        <w:t xml:space="preserve">to develop the Wraith hardware and AEGIS platform, with R&amp;D expenses around</w:t>
      </w:r>
      <w:r>
        <w:t xml:space="preserve"> </w:t>
      </w:r>
      <w:r>
        <w:rPr>
          <w:b/>
          <w:bCs/>
        </w:rPr>
        <w:t xml:space="preserve">$500k in Year1</w:t>
      </w:r>
      <w:r>
        <w:t xml:space="preserve">, growing to ~$900k by Year5 as the product line expands. Sales &amp; Marketing (S&amp;M) starts lower during the Kickstarter/validation phase (about</w:t>
      </w:r>
      <w:r>
        <w:t xml:space="preserve"> </w:t>
      </w:r>
      <w:r>
        <w:rPr>
          <w:b/>
          <w:bCs/>
        </w:rPr>
        <w:t xml:space="preserve">$200k in Year1</w:t>
      </w:r>
      <w:r>
        <w:t xml:space="preserve"> </w:t>
      </w:r>
      <w:r>
        <w:t xml:space="preserve">for community building, pilots, etc.), then increases to ~$1.0M by Year5 to drive broader adoption. General &amp; Administrative (G&amp;A) costs (overheads, salaries for admin, etc.) are kept modest, starting around</w:t>
      </w:r>
      <w:r>
        <w:t xml:space="preserve"> </w:t>
      </w:r>
      <w:r>
        <w:rPr>
          <w:b/>
          <w:bCs/>
        </w:rPr>
        <w:t xml:space="preserve">$100k</w:t>
      </w:r>
      <w:r>
        <w:t xml:space="preserve"> </w:t>
      </w:r>
      <w:r>
        <w:t xml:space="preserve">and rising to $300k by Year5 as the company scales. These OpEx figures are not tied to revenue directly (since as a startup we spend ahead of revenue), but we assume they grow at a controlled pace, reflecting team growth and increasing go-to-market efforts each year.</w:t>
      </w:r>
    </w:p>
    <w:p>
      <w:pPr>
        <w:pStyle w:val="Compact"/>
        <w:numPr>
          <w:ilvl w:val="0"/>
          <w:numId w:val="1001"/>
        </w:numPr>
      </w:pPr>
      <w:r>
        <w:rPr>
          <w:b/>
          <w:bCs/>
        </w:rPr>
        <w:t xml:space="preserve">Staffing Growth:</w:t>
      </w:r>
      <w:r>
        <w:t xml:space="preserve"> </w:t>
      </w:r>
      <w:r>
        <w:t xml:space="preserve">The above OpEx budget implies</w:t>
      </w:r>
      <w:r>
        <w:t xml:space="preserve"> </w:t>
      </w:r>
      <w:r>
        <w:rPr>
          <w:b/>
          <w:bCs/>
        </w:rPr>
        <w:t xml:space="preserve">headcount growth over time</w:t>
      </w:r>
      <w:r>
        <w:t xml:space="preserve">. We anticipate the team roughly doubling from Year1 to Year2 (to support product development and initial sales), then growing ~50% year-on-year thereafter. There aren’t strict “tiers” of hiring; instead, we model a steady ramp in staffing across R&amp;D (engineers), S&amp;M (sales reps, marketing), and G&amp;A (support staff) to execute the business plan. For instance, by Year5 the company might have on the order of 15–20 R&amp;D personnel, 10+ in sales/marketing, and a handful in admin roles (adjusted to fit the expense assumptions).</w:t>
      </w:r>
    </w:p>
    <w:p>
      <w:pPr>
        <w:pStyle w:val="Compact"/>
        <w:numPr>
          <w:ilvl w:val="0"/>
          <w:numId w:val="1001"/>
        </w:numPr>
      </w:pPr>
      <w:r>
        <w:rPr>
          <w:b/>
          <w:bCs/>
        </w:rPr>
        <w:t xml:space="preserve">Unit Sales (Deployment Plan):</w:t>
      </w:r>
      <w:r>
        <w:t xml:space="preserve"> </w:t>
      </w:r>
      <w:r>
        <w:t xml:space="preserve">We project</w:t>
      </w:r>
      <w:r>
        <w:t xml:space="preserve"> </w:t>
      </w:r>
      <w:r>
        <w:rPr>
          <w:b/>
          <w:bCs/>
        </w:rPr>
        <w:t xml:space="preserve">Wraith unit deployments will grow aggressively</w:t>
      </w:r>
      <w:r>
        <w:t xml:space="preserve"> </w:t>
      </w:r>
      <w:r>
        <w:t xml:space="preserve">as the product gains traction. Starting with about</w:t>
      </w:r>
      <w:r>
        <w:t xml:space="preserve"> </w:t>
      </w:r>
      <w:r>
        <w:rPr>
          <w:b/>
          <w:bCs/>
        </w:rPr>
        <w:t xml:space="preserve">100 units in Year1</w:t>
      </w:r>
      <w:r>
        <w:t xml:space="preserve"> </w:t>
      </w:r>
      <w:r>
        <w:t xml:space="preserve">(a limited release or beta with Kickstarter backers/pilot customers), sales then accelerate to</w:t>
      </w:r>
      <w:r>
        <w:t xml:space="preserve"> </w:t>
      </w:r>
      <w:r>
        <w:rPr>
          <w:b/>
          <w:bCs/>
        </w:rPr>
        <w:t xml:space="preserve">300 units in Year2</w:t>
      </w:r>
      <w:r>
        <w:t xml:space="preserve">,</w:t>
      </w:r>
      <w:r>
        <w:t xml:space="preserve"> </w:t>
      </w:r>
      <w:r>
        <w:rPr>
          <w:b/>
          <w:bCs/>
        </w:rPr>
        <w:t xml:space="preserve">1,000 in Year3</w:t>
      </w:r>
      <w:r>
        <w:t xml:space="preserve">,</w:t>
      </w:r>
      <w:r>
        <w:t xml:space="preserve"> </w:t>
      </w:r>
      <w:r>
        <w:rPr>
          <w:b/>
          <w:bCs/>
        </w:rPr>
        <w:t xml:space="preserve">2,000 in Year4</w:t>
      </w:r>
      <w:r>
        <w:t xml:space="preserve">, and</w:t>
      </w:r>
      <w:r>
        <w:t xml:space="preserve"> </w:t>
      </w:r>
      <w:r>
        <w:rPr>
          <w:b/>
          <w:bCs/>
        </w:rPr>
        <w:t xml:space="preserve">4,000 in Year5</w:t>
      </w:r>
      <w:r>
        <w:t xml:space="preserve">. This curve represents rapid adoption (nearly 40× growth over 5 years), which is feasible for a successful hardware startup scaling production. It assumes that by Year3 the product-market fit is proven and significant market demand can be captured (with the help of increased marketing and distribution partnerships by Year4–5).</w:t>
      </w:r>
    </w:p>
    <w:p>
      <w:pPr>
        <w:pStyle w:val="Compact"/>
        <w:numPr>
          <w:ilvl w:val="0"/>
          <w:numId w:val="1001"/>
        </w:numPr>
      </w:pPr>
      <w:r>
        <w:rPr>
          <w:b/>
          <w:bCs/>
        </w:rPr>
        <w:t xml:space="preserve">ARR Model (Per-Unit vs. Per-Customer):</w:t>
      </w:r>
      <w:r>
        <w:t xml:space="preserve"> </w:t>
      </w:r>
      <w:r>
        <w:t xml:space="preserve">We model Annual Recurring Revenue</w:t>
      </w:r>
      <w:r>
        <w:t xml:space="preserve"> </w:t>
      </w:r>
      <w:r>
        <w:rPr>
          <w:b/>
          <w:bCs/>
        </w:rPr>
        <w:t xml:space="preserve">tied to each unit</w:t>
      </w:r>
      <w:r>
        <w:t xml:space="preserve">. In other words, every Wraith device deployed brings its own subscription revenue. There is no “flat” subscription per customer – if a customer deploys multiple units, they would subscribe for each. This per-unit ARR model means recurring revenue scales in direct proportion to the number of active units in the field. (This is typical for hardware-plus-SaaS models like IoT: each device requires a license or data plan.) We assume essentially 0% churn in these five years (customers keep devices active with subscriptions throughout the period).</w:t>
      </w:r>
    </w:p>
    <w:p>
      <w:pPr>
        <w:pStyle w:val="FirstParagraph"/>
      </w:pPr>
      <w:r>
        <w:t xml:space="preserve">Using these assumptions, we can now examine the projected 5-year Profit &amp; Loss and key metrics.</w:t>
      </w:r>
    </w:p>
    <w:bookmarkEnd w:id="25"/>
    <w:bookmarkStart w:id="26" w:name="year-pl-summary-years-15"/>
    <w:p>
      <w:pPr>
        <w:pStyle w:val="Heading2"/>
      </w:pPr>
      <w:r>
        <w:t xml:space="preserve">5-Year P&amp;L Summary (Years 1–5)</w:t>
      </w:r>
    </w:p>
    <w:p>
      <w:pPr>
        <w:pStyle w:val="FirstParagraph"/>
      </w:pPr>
      <w:r>
        <w:t xml:space="preserve">The table below presents the projected income statement for five years, given the above assumptions.</w:t>
      </w:r>
      <w:r>
        <w:t xml:space="preserve"> </w:t>
      </w:r>
      <w:r>
        <w:rPr>
          <w:b/>
          <w:bCs/>
        </w:rPr>
        <w:t xml:space="preserve">All monetary values are in thousands of USD ($000).</w:t>
      </w:r>
      <w:r>
        <w:t xml:space="preserve"> </w:t>
      </w:r>
      <w:r>
        <w:t xml:space="preserve">Negative EBITDA values are shown in parentheses. This projection includes revenues broken down by type, cost of goods sold (COGS), operating expenses, and resulting EBITDA.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Item</w:t>
            </w:r>
          </w:p>
        </w:tc>
        <w:tc>
          <w:tcPr/>
          <w:p>
            <w:pPr>
              <w:pStyle w:val="Compact"/>
              <w:jc w:val="right"/>
            </w:pPr>
            <w:r>
              <w:t xml:space="preserve">Year1</w:t>
            </w:r>
          </w:p>
        </w:tc>
        <w:tc>
          <w:tcPr/>
          <w:p>
            <w:pPr>
              <w:pStyle w:val="Compact"/>
              <w:jc w:val="right"/>
            </w:pPr>
            <w:r>
              <w:t xml:space="preserve">Year2</w:t>
            </w:r>
          </w:p>
        </w:tc>
        <w:tc>
          <w:tcPr/>
          <w:p>
            <w:pPr>
              <w:pStyle w:val="Compact"/>
              <w:jc w:val="right"/>
            </w:pPr>
            <w:r>
              <w:t xml:space="preserve">Year3</w:t>
            </w:r>
          </w:p>
        </w:tc>
        <w:tc>
          <w:tcPr/>
          <w:p>
            <w:pPr>
              <w:pStyle w:val="Compact"/>
              <w:jc w:val="right"/>
            </w:pPr>
            <w:r>
              <w:t xml:space="preserve">Year4</w:t>
            </w:r>
          </w:p>
        </w:tc>
        <w:tc>
          <w:tcPr/>
          <w:p>
            <w:pPr>
              <w:pStyle w:val="Compact"/>
              <w:jc w:val="right"/>
            </w:pPr>
            <w:r>
              <w:t xml:space="preserve">Year5</w:t>
            </w:r>
          </w:p>
        </w:tc>
      </w:tr>
      <w:tr>
        <w:tc>
          <w:tcPr/>
          <w:p>
            <w:pPr>
              <w:pStyle w:val="Compact"/>
            </w:pPr>
            <w:r>
              <w:t xml:space="preserve">Units Sold (units)</w:t>
            </w:r>
          </w:p>
        </w:tc>
        <w:tc>
          <w:tcPr/>
          <w:p>
            <w:pPr>
              <w:pStyle w:val="Compact"/>
              <w:jc w:val="right"/>
            </w:pPr>
            <w:r>
              <w:t xml:space="preserve">100</w:t>
            </w:r>
          </w:p>
        </w:tc>
        <w:tc>
          <w:tcPr/>
          <w:p>
            <w:pPr>
              <w:pStyle w:val="Compact"/>
              <w:jc w:val="right"/>
            </w:pPr>
            <w:r>
              <w:t xml:space="preserve">300</w:t>
            </w:r>
          </w:p>
        </w:tc>
        <w:tc>
          <w:tcPr/>
          <w:p>
            <w:pPr>
              <w:pStyle w:val="Compact"/>
              <w:jc w:val="right"/>
            </w:pPr>
            <w:r>
              <w:t xml:space="preserve">1,000</w:t>
            </w:r>
          </w:p>
        </w:tc>
        <w:tc>
          <w:tcPr/>
          <w:p>
            <w:pPr>
              <w:pStyle w:val="Compact"/>
              <w:jc w:val="right"/>
            </w:pPr>
            <w:r>
              <w:t xml:space="preserve">2,000</w:t>
            </w:r>
          </w:p>
        </w:tc>
        <w:tc>
          <w:tcPr/>
          <w:p>
            <w:pPr>
              <w:pStyle w:val="Compact"/>
              <w:jc w:val="right"/>
            </w:pPr>
            <w:r>
              <w:t xml:space="preserve">4,000</w:t>
            </w:r>
          </w:p>
        </w:tc>
      </w:tr>
      <w:tr>
        <w:tc>
          <w:tcPr/>
          <w:p>
            <w:pPr>
              <w:pStyle w:val="Compact"/>
            </w:pPr>
            <w:r>
              <w:t xml:space="preserve">Hardware Revenue ($k)</w:t>
            </w:r>
          </w:p>
        </w:tc>
        <w:tc>
          <w:tcPr/>
          <w:p>
            <w:pPr>
              <w:pStyle w:val="Compact"/>
              <w:jc w:val="right"/>
            </w:pPr>
            <w:r>
              <w:t xml:space="preserve">100</w:t>
            </w:r>
          </w:p>
        </w:tc>
        <w:tc>
          <w:tcPr/>
          <w:p>
            <w:pPr>
              <w:pStyle w:val="Compact"/>
              <w:jc w:val="right"/>
            </w:pPr>
            <w:r>
              <w:t xml:space="preserve">300</w:t>
            </w:r>
          </w:p>
        </w:tc>
        <w:tc>
          <w:tcPr/>
          <w:p>
            <w:pPr>
              <w:pStyle w:val="Compact"/>
              <w:jc w:val="right"/>
            </w:pPr>
            <w:r>
              <w:t xml:space="preserve">1,000</w:t>
            </w:r>
          </w:p>
        </w:tc>
        <w:tc>
          <w:tcPr/>
          <w:p>
            <w:pPr>
              <w:pStyle w:val="Compact"/>
              <w:jc w:val="right"/>
            </w:pPr>
            <w:r>
              <w:t xml:space="preserve">2,000</w:t>
            </w:r>
          </w:p>
        </w:tc>
        <w:tc>
          <w:tcPr/>
          <w:p>
            <w:pPr>
              <w:pStyle w:val="Compact"/>
              <w:jc w:val="right"/>
            </w:pPr>
            <w:r>
              <w:t xml:space="preserve">4,000</w:t>
            </w:r>
          </w:p>
        </w:tc>
      </w:tr>
      <w:tr>
        <w:tc>
          <w:tcPr/>
          <w:p>
            <w:pPr>
              <w:pStyle w:val="Compact"/>
            </w:pPr>
            <w:r>
              <w:t xml:space="preserve">SaaS Revenue ($k)</w:t>
            </w:r>
          </w:p>
        </w:tc>
        <w:tc>
          <w:tcPr/>
          <w:p>
            <w:pPr>
              <w:pStyle w:val="Compact"/>
              <w:jc w:val="right"/>
            </w:pPr>
            <w:r>
              <w:t xml:space="preserve">30</w:t>
            </w:r>
          </w:p>
        </w:tc>
        <w:tc>
          <w:tcPr/>
          <w:p>
            <w:pPr>
              <w:pStyle w:val="Compact"/>
              <w:jc w:val="right"/>
            </w:pPr>
            <w:r>
              <w:t xml:space="preserve">120</w:t>
            </w:r>
          </w:p>
        </w:tc>
        <w:tc>
          <w:tcPr/>
          <w:p>
            <w:pPr>
              <w:pStyle w:val="Compact"/>
              <w:jc w:val="right"/>
            </w:pPr>
            <w:r>
              <w:t xml:space="preserve">420</w:t>
            </w:r>
          </w:p>
        </w:tc>
        <w:tc>
          <w:tcPr/>
          <w:p>
            <w:pPr>
              <w:pStyle w:val="Compact"/>
              <w:jc w:val="right"/>
            </w:pPr>
            <w:r>
              <w:t xml:space="preserve">1,020</w:t>
            </w:r>
          </w:p>
        </w:tc>
        <w:tc>
          <w:tcPr/>
          <w:p>
            <w:pPr>
              <w:pStyle w:val="Compact"/>
              <w:jc w:val="right"/>
            </w:pPr>
            <w:r>
              <w:t xml:space="preserve">2,220</w:t>
            </w:r>
          </w:p>
        </w:tc>
      </w:tr>
      <w:tr>
        <w:tc>
          <w:tcPr/>
          <w:p>
            <w:pPr>
              <w:pStyle w:val="Compact"/>
            </w:pPr>
            <w:r>
              <w:t xml:space="preserve">Catalog Revenue ($k)</w:t>
            </w:r>
          </w:p>
        </w:tc>
        <w:tc>
          <w:tcPr/>
          <w:p>
            <w:pPr>
              <w:pStyle w:val="Compact"/>
              <w:jc w:val="right"/>
            </w:pPr>
            <w:r>
              <w:t xml:space="preserve">22</w:t>
            </w:r>
          </w:p>
        </w:tc>
        <w:tc>
          <w:tcPr/>
          <w:p>
            <w:pPr>
              <w:pStyle w:val="Compact"/>
              <w:jc w:val="right"/>
            </w:pPr>
            <w:r>
              <w:t xml:space="preserve">88</w:t>
            </w:r>
          </w:p>
        </w:tc>
        <w:tc>
          <w:tcPr/>
          <w:p>
            <w:pPr>
              <w:pStyle w:val="Compact"/>
              <w:jc w:val="right"/>
            </w:pPr>
            <w:r>
              <w:t xml:space="preserve">308</w:t>
            </w:r>
          </w:p>
        </w:tc>
        <w:tc>
          <w:tcPr/>
          <w:p>
            <w:pPr>
              <w:pStyle w:val="Compact"/>
              <w:jc w:val="right"/>
            </w:pPr>
            <w:r>
              <w:t xml:space="preserve">748</w:t>
            </w:r>
          </w:p>
        </w:tc>
        <w:tc>
          <w:tcPr/>
          <w:p>
            <w:pPr>
              <w:pStyle w:val="Compact"/>
              <w:jc w:val="right"/>
            </w:pPr>
            <w:r>
              <w:t xml:space="preserve">1,628</w:t>
            </w:r>
          </w:p>
        </w:tc>
      </w:tr>
      <w:tr>
        <w:tc>
          <w:tcPr/>
          <w:p>
            <w:pPr>
              <w:pStyle w:val="Compact"/>
            </w:pPr>
            <w:r>
              <w:rPr>
                <w:b/>
                <w:bCs/>
              </w:rPr>
              <w:t xml:space="preserve">Total Revenue ($k)</w:t>
            </w:r>
          </w:p>
        </w:tc>
        <w:tc>
          <w:tcPr/>
          <w:p>
            <w:pPr>
              <w:pStyle w:val="Compact"/>
              <w:jc w:val="right"/>
            </w:pPr>
            <w:r>
              <w:t xml:space="preserve">152</w:t>
            </w:r>
          </w:p>
        </w:tc>
        <w:tc>
          <w:tcPr/>
          <w:p>
            <w:pPr>
              <w:pStyle w:val="Compact"/>
              <w:jc w:val="right"/>
            </w:pPr>
            <w:r>
              <w:t xml:space="preserve">508</w:t>
            </w:r>
          </w:p>
        </w:tc>
        <w:tc>
          <w:tcPr/>
          <w:p>
            <w:pPr>
              <w:pStyle w:val="Compact"/>
              <w:jc w:val="right"/>
            </w:pPr>
            <w:r>
              <w:t xml:space="preserve">1,728</w:t>
            </w:r>
          </w:p>
        </w:tc>
        <w:tc>
          <w:tcPr/>
          <w:p>
            <w:pPr>
              <w:pStyle w:val="Compact"/>
              <w:jc w:val="right"/>
            </w:pPr>
            <w:r>
              <w:t xml:space="preserve">3,768</w:t>
            </w:r>
          </w:p>
        </w:tc>
        <w:tc>
          <w:tcPr/>
          <w:p>
            <w:pPr>
              <w:pStyle w:val="Compact"/>
              <w:jc w:val="right"/>
            </w:pPr>
            <w:r>
              <w:t xml:space="preserve">7,848</w:t>
            </w:r>
          </w:p>
        </w:tc>
      </w:tr>
      <w:tr>
        <w:tc>
          <w:tcPr/>
          <w:p>
            <w:pPr>
              <w:pStyle w:val="Compact"/>
            </w:pPr>
            <w:r>
              <w:t xml:space="preserve">COGS ($k)</w:t>
            </w:r>
          </w:p>
        </w:tc>
        <w:tc>
          <w:tcPr/>
          <w:p>
            <w:pPr>
              <w:pStyle w:val="Compact"/>
              <w:jc w:val="right"/>
            </w:pPr>
            <w:r>
              <w:t xml:space="preserve">75</w:t>
            </w:r>
          </w:p>
        </w:tc>
        <w:tc>
          <w:tcPr/>
          <w:p>
            <w:pPr>
              <w:pStyle w:val="Compact"/>
              <w:jc w:val="right"/>
            </w:pPr>
            <w:r>
              <w:t xml:space="preserve">211</w:t>
            </w:r>
          </w:p>
        </w:tc>
        <w:tc>
          <w:tcPr/>
          <w:p>
            <w:pPr>
              <w:pStyle w:val="Compact"/>
              <w:jc w:val="right"/>
            </w:pPr>
            <w:r>
              <w:t xml:space="preserve">613</w:t>
            </w:r>
          </w:p>
        </w:tc>
        <w:tc>
          <w:tcPr/>
          <w:p>
            <w:pPr>
              <w:pStyle w:val="Compact"/>
              <w:jc w:val="right"/>
            </w:pPr>
            <w:r>
              <w:t xml:space="preserve">1,217</w:t>
            </w:r>
          </w:p>
        </w:tc>
        <w:tc>
          <w:tcPr/>
          <w:p>
            <w:pPr>
              <w:pStyle w:val="Compact"/>
              <w:jc w:val="right"/>
            </w:pPr>
            <w:r>
              <w:t xml:space="preserve">2,325</w:t>
            </w:r>
          </w:p>
        </w:tc>
      </w:tr>
      <w:tr>
        <w:tc>
          <w:tcPr/>
          <w:p>
            <w:pPr>
              <w:pStyle w:val="Compact"/>
            </w:pPr>
            <w:r>
              <w:rPr>
                <w:b/>
                <w:bCs/>
              </w:rPr>
              <w:t xml:space="preserve">Gross Profit ($k)</w:t>
            </w:r>
          </w:p>
        </w:tc>
        <w:tc>
          <w:tcPr/>
          <w:p>
            <w:pPr>
              <w:pStyle w:val="Compact"/>
              <w:jc w:val="right"/>
            </w:pPr>
            <w:r>
              <w:t xml:space="preserve">77</w:t>
            </w:r>
          </w:p>
        </w:tc>
        <w:tc>
          <w:tcPr/>
          <w:p>
            <w:pPr>
              <w:pStyle w:val="Compact"/>
              <w:jc w:val="right"/>
            </w:pPr>
            <w:r>
              <w:t xml:space="preserve">297</w:t>
            </w:r>
          </w:p>
        </w:tc>
        <w:tc>
          <w:tcPr/>
          <w:p>
            <w:pPr>
              <w:pStyle w:val="Compact"/>
              <w:jc w:val="right"/>
            </w:pPr>
            <w:r>
              <w:t xml:space="preserve">1,115</w:t>
            </w:r>
          </w:p>
        </w:tc>
        <w:tc>
          <w:tcPr/>
          <w:p>
            <w:pPr>
              <w:pStyle w:val="Compact"/>
              <w:jc w:val="right"/>
            </w:pPr>
            <w:r>
              <w:t xml:space="preserve">2,551</w:t>
            </w:r>
          </w:p>
        </w:tc>
        <w:tc>
          <w:tcPr/>
          <w:p>
            <w:pPr>
              <w:pStyle w:val="Compact"/>
              <w:jc w:val="right"/>
            </w:pPr>
            <w:r>
              <w:t xml:space="preserve">5,523</w:t>
            </w:r>
          </w:p>
        </w:tc>
      </w:tr>
      <w:tr>
        <w:tc>
          <w:tcPr/>
          <w:p>
            <w:pPr>
              <w:pStyle w:val="Compact"/>
            </w:pPr>
            <w:r>
              <w:t xml:space="preserve">R&amp;D ($k)</w:t>
            </w:r>
          </w:p>
        </w:tc>
        <w:tc>
          <w:tcPr/>
          <w:p>
            <w:pPr>
              <w:pStyle w:val="Compact"/>
              <w:jc w:val="right"/>
            </w:pPr>
            <w:r>
              <w:t xml:space="preserve">500</w:t>
            </w:r>
          </w:p>
        </w:tc>
        <w:tc>
          <w:tcPr/>
          <w:p>
            <w:pPr>
              <w:pStyle w:val="Compact"/>
              <w:jc w:val="right"/>
            </w:pPr>
            <w:r>
              <w:t xml:space="preserve">600</w:t>
            </w:r>
          </w:p>
        </w:tc>
        <w:tc>
          <w:tcPr/>
          <w:p>
            <w:pPr>
              <w:pStyle w:val="Compact"/>
              <w:jc w:val="right"/>
            </w:pPr>
            <w:r>
              <w:t xml:space="preserve">700</w:t>
            </w:r>
          </w:p>
        </w:tc>
        <w:tc>
          <w:tcPr/>
          <w:p>
            <w:pPr>
              <w:pStyle w:val="Compact"/>
              <w:jc w:val="right"/>
            </w:pPr>
            <w:r>
              <w:t xml:space="preserve">800</w:t>
            </w:r>
          </w:p>
        </w:tc>
        <w:tc>
          <w:tcPr/>
          <w:p>
            <w:pPr>
              <w:pStyle w:val="Compact"/>
              <w:jc w:val="right"/>
            </w:pPr>
            <w:r>
              <w:t xml:space="preserve">900</w:t>
            </w:r>
          </w:p>
        </w:tc>
      </w:tr>
      <w:tr>
        <w:tc>
          <w:tcPr/>
          <w:p>
            <w:pPr>
              <w:pStyle w:val="Compact"/>
            </w:pPr>
            <w:r>
              <w:t xml:space="preserve">S&amp;M ($k)</w:t>
            </w:r>
          </w:p>
        </w:tc>
        <w:tc>
          <w:tcPr/>
          <w:p>
            <w:pPr>
              <w:pStyle w:val="Compact"/>
              <w:jc w:val="right"/>
            </w:pPr>
            <w:r>
              <w:t xml:space="preserve">200</w:t>
            </w:r>
          </w:p>
        </w:tc>
        <w:tc>
          <w:tcPr/>
          <w:p>
            <w:pPr>
              <w:pStyle w:val="Compact"/>
              <w:jc w:val="right"/>
            </w:pPr>
            <w:r>
              <w:t xml:space="preserve">400</w:t>
            </w:r>
          </w:p>
        </w:tc>
        <w:tc>
          <w:tcPr/>
          <w:p>
            <w:pPr>
              <w:pStyle w:val="Compact"/>
              <w:jc w:val="right"/>
            </w:pPr>
            <w:r>
              <w:t xml:space="preserve">600</w:t>
            </w:r>
          </w:p>
        </w:tc>
        <w:tc>
          <w:tcPr/>
          <w:p>
            <w:pPr>
              <w:pStyle w:val="Compact"/>
              <w:jc w:val="right"/>
            </w:pPr>
            <w:r>
              <w:t xml:space="preserve">800</w:t>
            </w:r>
          </w:p>
        </w:tc>
        <w:tc>
          <w:tcPr/>
          <w:p>
            <w:pPr>
              <w:pStyle w:val="Compact"/>
              <w:jc w:val="right"/>
            </w:pPr>
            <w:r>
              <w:t xml:space="preserve">1,000</w:t>
            </w:r>
          </w:p>
        </w:tc>
      </w:tr>
      <w:tr>
        <w:tc>
          <w:tcPr/>
          <w:p>
            <w:pPr>
              <w:pStyle w:val="Compact"/>
            </w:pPr>
            <w:r>
              <w:t xml:space="preserve">G&amp;A ($k)</w:t>
            </w:r>
          </w:p>
        </w:tc>
        <w:tc>
          <w:tcPr/>
          <w:p>
            <w:pPr>
              <w:pStyle w:val="Compact"/>
              <w:jc w:val="right"/>
            </w:pPr>
            <w:r>
              <w:t xml:space="preserve">100</w:t>
            </w:r>
          </w:p>
        </w:tc>
        <w:tc>
          <w:tcPr/>
          <w:p>
            <w:pPr>
              <w:pStyle w:val="Compact"/>
              <w:jc w:val="right"/>
            </w:pPr>
            <w:r>
              <w:t xml:space="preserve">150</w:t>
            </w:r>
          </w:p>
        </w:tc>
        <w:tc>
          <w:tcPr/>
          <w:p>
            <w:pPr>
              <w:pStyle w:val="Compact"/>
              <w:jc w:val="right"/>
            </w:pPr>
            <w:r>
              <w:t xml:space="preserve">200</w:t>
            </w:r>
          </w:p>
        </w:tc>
        <w:tc>
          <w:tcPr/>
          <w:p>
            <w:pPr>
              <w:pStyle w:val="Compact"/>
              <w:jc w:val="right"/>
            </w:pPr>
            <w:r>
              <w:t xml:space="preserve">250</w:t>
            </w:r>
          </w:p>
        </w:tc>
        <w:tc>
          <w:tcPr/>
          <w:p>
            <w:pPr>
              <w:pStyle w:val="Compact"/>
              <w:jc w:val="right"/>
            </w:pPr>
            <w:r>
              <w:t xml:space="preserve">300</w:t>
            </w:r>
          </w:p>
        </w:tc>
      </w:tr>
      <w:tr>
        <w:tc>
          <w:tcPr/>
          <w:p>
            <w:pPr>
              <w:pStyle w:val="Compact"/>
            </w:pPr>
            <w:r>
              <w:rPr>
                <w:b/>
                <w:bCs/>
              </w:rPr>
              <w:t xml:space="preserve">EBITDA ($k)</w:t>
            </w:r>
          </w:p>
        </w:tc>
        <w:tc>
          <w:tcPr/>
          <w:p>
            <w:pPr>
              <w:pStyle w:val="Compact"/>
              <w:jc w:val="right"/>
            </w:pPr>
            <w:r>
              <w:t xml:space="preserve">(723)</w:t>
            </w:r>
          </w:p>
        </w:tc>
        <w:tc>
          <w:tcPr/>
          <w:p>
            <w:pPr>
              <w:pStyle w:val="Compact"/>
              <w:jc w:val="right"/>
            </w:pPr>
            <w:r>
              <w:t xml:space="preserve">(853)</w:t>
            </w:r>
          </w:p>
        </w:tc>
        <w:tc>
          <w:tcPr/>
          <w:p>
            <w:pPr>
              <w:pStyle w:val="Compact"/>
              <w:jc w:val="right"/>
            </w:pPr>
            <w:r>
              <w:t xml:space="preserve">(385)</w:t>
            </w:r>
          </w:p>
        </w:tc>
        <w:tc>
          <w:tcPr/>
          <w:p>
            <w:pPr>
              <w:pStyle w:val="Compact"/>
              <w:jc w:val="right"/>
            </w:pPr>
            <w:r>
              <w:t xml:space="preserve">701</w:t>
            </w:r>
          </w:p>
        </w:tc>
        <w:tc>
          <w:tcPr/>
          <w:p>
            <w:pPr>
              <w:pStyle w:val="Compact"/>
              <w:jc w:val="right"/>
            </w:pPr>
            <w:r>
              <w:t xml:space="preserve">3,300</w:t>
            </w:r>
          </w:p>
        </w:tc>
      </w:tr>
    </w:tbl>
    <w:p>
      <w:pPr>
        <w:pStyle w:val="BodyText"/>
      </w:pPr>
      <w:r>
        <w:rPr>
          <w:b/>
          <w:bCs/>
        </w:rPr>
        <w:t xml:space="preserve">Highlights:</w:t>
      </w:r>
      <w:r>
        <w:t xml:space="preserve"> </w:t>
      </w:r>
      <w:r>
        <w:t xml:space="preserve">In this scenario, total revenue grows from just</w:t>
      </w:r>
      <w:r>
        <w:t xml:space="preserve"> </w:t>
      </w:r>
      <w:r>
        <w:rPr>
          <w:b/>
          <w:bCs/>
        </w:rPr>
        <w:t xml:space="preserve">$152k in Year1 to about $7.85M by Year5</w:t>
      </w:r>
      <w:r>
        <w:t xml:space="preserve">, a</w:t>
      </w:r>
      <w:r>
        <w:t xml:space="preserve"> </w:t>
      </w:r>
      <w:r>
        <w:rPr>
          <w:b/>
          <w:bCs/>
        </w:rPr>
        <w:t xml:space="preserve">50x increase</w:t>
      </w:r>
      <w:r>
        <w:t xml:space="preserve"> </w:t>
      </w:r>
      <w:r>
        <w:t xml:space="preserve">driven by the rapid expansion of unit sales and the accompanying subscription and catalog sales. The revenue mix shifts over time (detailed in the next section), but by Year5 the hardware sales (~$4.0M) are just about half of total revenue, with the other half coming from SaaS and catalog streams. Gross profit improves even faster, reaching</w:t>
      </w:r>
      <w:r>
        <w:t xml:space="preserve"> </w:t>
      </w:r>
      <w:r>
        <w:rPr>
          <w:b/>
          <w:bCs/>
        </w:rPr>
        <w:t xml:space="preserve">$5.5M by Year5</w:t>
      </w:r>
      <w:r>
        <w:t xml:space="preserve">, as higher-margin software and add-ons comprise a larger share and hardware unit costs decline.</w:t>
      </w:r>
    </w:p>
    <w:p>
      <w:pPr>
        <w:pStyle w:val="BodyText"/>
      </w:pPr>
      <w:r>
        <w:t xml:space="preserve">Operating expenses are front-loaded: the company runs at a loss for the first three years, reflecting heavy investment in R&amp;D and marketing.</w:t>
      </w:r>
      <w:r>
        <w:t xml:space="preserve"> </w:t>
      </w:r>
      <w:r>
        <w:rPr>
          <w:b/>
          <w:bCs/>
        </w:rPr>
        <w:t xml:space="preserve">EBITDA is negative until Year4</w:t>
      </w:r>
      <w:r>
        <w:t xml:space="preserve">. The worst loss is in Year2 (EBITDA ≈ –$853k), as the team scales up spending while revenues are still modest. By</w:t>
      </w:r>
      <w:r>
        <w:t xml:space="preserve"> </w:t>
      </w:r>
      <w:r>
        <w:rPr>
          <w:b/>
          <w:bCs/>
        </w:rPr>
        <w:t xml:space="preserve">Year4, the business turns EBITDA-positive (about $701k)</w:t>
      </w:r>
      <w:r>
        <w:t xml:space="preserve"> </w:t>
      </w:r>
      <w:r>
        <w:t xml:space="preserve">as revenue growth outpaces the increase in OpEx.</w:t>
      </w:r>
      <w:r>
        <w:t xml:space="preserve"> </w:t>
      </w:r>
      <w:r>
        <w:rPr>
          <w:b/>
          <w:bCs/>
        </w:rPr>
        <w:t xml:space="preserve">Year5 EBITDA soars to ~$3.3M</w:t>
      </w:r>
      <w:r>
        <w:t xml:space="preserve">, which is</w:t>
      </w:r>
      <w:r>
        <w:t xml:space="preserve"> </w:t>
      </w:r>
      <w:r>
        <w:rPr>
          <w:b/>
          <w:bCs/>
        </w:rPr>
        <w:t xml:space="preserve">42% of revenue</w:t>
      </w:r>
      <w:r>
        <w:t xml:space="preserve">, indicating a strong operating leverage once sufficient scale is achieved. This inflection to profitability is a key milestone, demonstrating a viable business model after the initial investment phase.</w:t>
      </w:r>
    </w:p>
    <w:p>
      <w:pPr>
        <w:pStyle w:val="BodyText"/>
      </w:pPr>
      <w:r>
        <w:t xml:space="preserve">It’s worth noting some</w:t>
      </w:r>
      <w:r>
        <w:t xml:space="preserve"> </w:t>
      </w:r>
      <w:r>
        <w:rPr>
          <w:b/>
          <w:bCs/>
        </w:rPr>
        <w:t xml:space="preserve">key KPIs</w:t>
      </w:r>
      <w:r>
        <w:t xml:space="preserve"> </w:t>
      </w:r>
      <w:r>
        <w:t xml:space="preserve">implicit in these numbers: unit sales, ARR, and EBITDA margin. Unit sales (a fundamental KPI) jump to 4,000/year by Year5, resulting in an</w:t>
      </w:r>
      <w:r>
        <w:t xml:space="preserve"> </w:t>
      </w:r>
      <w:r>
        <w:rPr>
          <w:b/>
          <w:bCs/>
        </w:rPr>
        <w:t xml:space="preserve">installed base of ~7,400 units</w:t>
      </w:r>
      <w:r>
        <w:t xml:space="preserve"> </w:t>
      </w:r>
      <w:r>
        <w:t xml:space="preserve">generating recurring SaaS fees. Annual Recurring Revenue (ARR) from subscriptions grows to</w:t>
      </w:r>
      <w:r>
        <w:t xml:space="preserve"> </w:t>
      </w:r>
      <w:r>
        <w:rPr>
          <w:b/>
          <w:bCs/>
        </w:rPr>
        <w:t xml:space="preserve">$2.22M in Year5</w:t>
      </w:r>
      <w:r>
        <w:t xml:space="preserve">, which, combined with repeat catalog purchases, drives a substantial portion of profits. EBITDA margin improves from</w:t>
      </w:r>
      <w:r>
        <w:t xml:space="preserve"> </w:t>
      </w:r>
      <w:r>
        <w:rPr>
          <w:b/>
          <w:bCs/>
        </w:rPr>
        <w:t xml:space="preserve">negative in early years to ~15% in Year4 and ~42% by Year5</w:t>
      </w:r>
      <w:r>
        <w:t xml:space="preserve">, reflecting the high gross margins of SaaS and software revenues once the initial fixed costs are covered.</w:t>
      </w:r>
    </w:p>
    <w:bookmarkEnd w:id="26"/>
    <w:bookmarkStart w:id="27" w:name="ebitda-progression-and-break-even"/>
    <w:p>
      <w:pPr>
        <w:pStyle w:val="Heading2"/>
      </w:pPr>
      <w:r>
        <w:t xml:space="preserve">EBITDA Progression and Break-Even</w:t>
      </w:r>
    </w:p>
    <w:p>
      <w:pPr>
        <w:pStyle w:val="FirstParagraph"/>
      </w:pPr>
      <w:r>
        <w:t xml:space="preserve">The chart below illustrates the EBITDA trajectory over five years, highlighting the “bridge” from losses to profits. Early years show negative EBITDA due to significant R&amp;D and marketing spend, but as revenue scales up,</w:t>
      </w:r>
      <w:r>
        <w:t xml:space="preserve"> </w:t>
      </w:r>
      <w:r>
        <w:rPr>
          <w:b/>
          <w:bCs/>
        </w:rPr>
        <w:t xml:space="preserve">EBITDA crosses into positive territory by Year4</w:t>
      </w:r>
      <w:r>
        <w:t xml:space="preserve">. By Year5 the company achieves strong profitability.</w:t>
      </w:r>
    </w:p>
    <w:p>
      <w:pPr>
        <w:pStyle w:val="BodyText"/>
      </w:pPr>
      <w:r>
        <w:rPr>
          <w:i/>
          <w:iCs/>
        </w:rPr>
        <w:t xml:space="preserve">EBITDA progression from Year1 through Year5 (values in $ Millions). The company is EBITDA-negative for the first 3 years, roughly break-even by Year4 (EBITDA ≈ $0.7M), and solidly profitable by Year5 (EBITDA ≈ $3.3M). This turnaround reflects growing revenue and improving gross margins, while OpEx growth stabilizes.</w:t>
      </w:r>
    </w:p>
    <w:p>
      <w:pPr>
        <w:pStyle w:val="BodyText"/>
      </w:pPr>
      <w:r>
        <w:t xml:space="preserve">As shown above, we anticipate</w:t>
      </w:r>
      <w:r>
        <w:t xml:space="preserve"> </w:t>
      </w:r>
      <w:r>
        <w:rPr>
          <w:b/>
          <w:bCs/>
        </w:rPr>
        <w:t xml:space="preserve">cumulative losses in the first three years</w:t>
      </w:r>
      <w:r>
        <w:t xml:space="preserve"> </w:t>
      </w:r>
      <w:r>
        <w:t xml:space="preserve">while the product is developed and market adoption ramps up. EBITDA in Year1 is around –$0.72M and</w:t>
      </w:r>
      <w:r>
        <w:t xml:space="preserve"> </w:t>
      </w:r>
      <w:r>
        <w:rPr>
          <w:b/>
          <w:bCs/>
        </w:rPr>
        <w:t xml:space="preserve">further dips to –$0.85M in Year2</w:t>
      </w:r>
      <w:r>
        <w:t xml:space="preserve"> </w:t>
      </w:r>
      <w:r>
        <w:t xml:space="preserve">(as the team and expenses grow faster than revenues). By Year3 the loss narrows to ~$–0.39M, and</w:t>
      </w:r>
      <w:r>
        <w:t xml:space="preserve"> </w:t>
      </w:r>
      <w:r>
        <w:rPr>
          <w:b/>
          <w:bCs/>
        </w:rPr>
        <w:t xml:space="preserve">Year4 turns positive</w:t>
      </w:r>
      <w:r>
        <w:t xml:space="preserve">. The</w:t>
      </w:r>
      <w:r>
        <w:t xml:space="preserve"> </w:t>
      </w:r>
      <w:r>
        <w:rPr>
          <w:b/>
          <w:bCs/>
        </w:rPr>
        <w:t xml:space="preserve">EBITDA bridge</w:t>
      </w:r>
      <w:r>
        <w:t xml:space="preserve"> </w:t>
      </w:r>
      <w:r>
        <w:t xml:space="preserve">from Year3 to Year5 is driven primarily by revenue expansion: hardware unit sales bring scale, and higher-margin SaaS and catalog revenues compose a bigger slice of the total. In effect, each additional dollar of revenue in later years contributes more to EBITDA than in earlier years, once fixed costs are covered. The</w:t>
      </w:r>
      <w:r>
        <w:t xml:space="preserve"> </w:t>
      </w:r>
      <w:r>
        <w:rPr>
          <w:b/>
          <w:bCs/>
        </w:rPr>
        <w:t xml:space="preserve">EBITDA margin</w:t>
      </w:r>
      <w:r>
        <w:t xml:space="preserve"> </w:t>
      </w:r>
      <w:r>
        <w:t xml:space="preserve">improves dramatically, reaching 42% by Year5, which is indicative of a healthy SaaS-augmented business model.</w:t>
      </w:r>
    </w:p>
    <w:bookmarkEnd w:id="27"/>
    <w:bookmarkStart w:id="28" w:name="revenue-mix-breakdown"/>
    <w:p>
      <w:pPr>
        <w:pStyle w:val="Heading2"/>
      </w:pPr>
      <w:r>
        <w:t xml:space="preserve">Revenue Mix Breakdown</w:t>
      </w:r>
    </w:p>
    <w:p>
      <w:pPr>
        <w:pStyle w:val="FirstParagraph"/>
      </w:pPr>
      <w:r>
        <w:t xml:space="preserve">The next chart shows the breakdown of revenue by source: hardware sales, SaaS subscriptions, and the four catalog categories. This highlights how AEGIS/Wraith’s revenue streams diversify over time, increasing the proportion of recurring and ancillary sales relative to one-time hardware sales.</w:t>
      </w:r>
    </w:p>
    <w:p>
      <w:pPr>
        <w:pStyle w:val="BodyText"/>
      </w:pPr>
      <w:r>
        <w:rPr>
          <w:i/>
          <w:iCs/>
        </w:rPr>
        <w:t xml:space="preserve">Annual revenue mix by category, Year1–Year5. Each bar is stacked to show Hardware (base), SaaS (green), and Catalog categories A through D (upper segments). Hardware sales dominate early revenue, but by Year5 nearly half of revenue comes from SaaS and catalog add-ons. Category D (premium upgrades, top segment) and Category B/C (mid and software, middle segments) grow substantially by Year5.</w:t>
      </w:r>
    </w:p>
    <w:p>
      <w:pPr>
        <w:pStyle w:val="BodyText"/>
      </w:pPr>
      <w:r>
        <w:rPr>
          <w:b/>
          <w:bCs/>
        </w:rPr>
        <w:t xml:space="preserve">Trend Analysis:</w:t>
      </w:r>
      <w:r>
        <w:t xml:space="preserve"> </w:t>
      </w:r>
      <w:r>
        <w:t xml:space="preserve">In Year1, hardware makes up the bulk of the $152k revenue (about 66%), with only a small contribution from SaaS (~20%) and catalog (~14%). This is expected at launch: most revenue comes from initial device sales. As the years progress,</w:t>
      </w:r>
      <w:r>
        <w:t xml:space="preserve"> </w:t>
      </w:r>
      <w:r>
        <w:rPr>
          <w:b/>
          <w:bCs/>
        </w:rPr>
        <w:t xml:space="preserve">recurring and follow-on revenues become increasingly significant</w:t>
      </w:r>
      <w:r>
        <w:t xml:space="preserve">. By Year5, out of ~$7.85M total revenue, hardware sales ($4.0M) constitute roughly 51%, while SaaS ($2.22M) is ~28%, and combined catalog sales (~$1.63M) are ~21%. In other words,</w:t>
      </w:r>
      <w:r>
        <w:t xml:space="preserve"> </w:t>
      </w:r>
      <w:r>
        <w:rPr>
          <w:b/>
          <w:bCs/>
        </w:rPr>
        <w:t xml:space="preserve">almost half of Year5 revenue is non-hardware (recurring or add-on)</w:t>
      </w:r>
      <w:r>
        <w:t xml:space="preserve">. This shift toward a higher recurring revenue mix is highly favorable, as recurring streams improve predictability and company valuation</w:t>
      </w:r>
      <w:hyperlink r:id="rId21">
        <w:r>
          <w:rPr>
            <w:rStyle w:val="Hyperlink"/>
          </w:rPr>
          <w:t xml:space="preserve">[1]</w:t>
        </w:r>
      </w:hyperlink>
      <w:r>
        <w:t xml:space="preserve">.</w:t>
      </w:r>
    </w:p>
    <w:p>
      <w:pPr>
        <w:pStyle w:val="BodyText"/>
      </w:pPr>
      <w:r>
        <w:t xml:space="preserve">Within the catalog segments, we see that</w:t>
      </w:r>
      <w:r>
        <w:t xml:space="preserve"> </w:t>
      </w:r>
      <w:r>
        <w:rPr>
          <w:b/>
          <w:bCs/>
        </w:rPr>
        <w:t xml:space="preserve">premium Category D and mid-range Category B/C items generate the largest add-on revenues by Year5</w:t>
      </w:r>
      <w:r>
        <w:t xml:space="preserve">. For instance, premium upgrades (Cat D) rise from virtually nothing to around $370k (in Year5), thanks to the large installed base – many customers eventually spring for high-value upgrades. Similarly, software modules and mid-cost add-ons (Cats B and C) each contribute ~$444k by Year5. Lower-cost accessories (Cat A), while having the highest unit volume, contribute a more modest ~$370k in Year5 due to their low price point. These projections suggest a thriving ecosystem of upgrades and add-ons around the Wraith platform, which not only boosts revenue but also likely enhances customer engagement (each additional purchase deepens the customer’s ties to the platform).</w:t>
      </w:r>
    </w:p>
    <w:p>
      <w:pPr>
        <w:pStyle w:val="BodyText"/>
      </w:pPr>
      <w:r>
        <w:rPr>
          <w:b/>
          <w:bCs/>
        </w:rPr>
        <w:t xml:space="preserve">Investor Takeaway:</w:t>
      </w:r>
      <w:r>
        <w:t xml:space="preserve"> </w:t>
      </w:r>
      <w:r>
        <w:t xml:space="preserve">By the end of the forecast period, AEGIS/Wraith demonstrates a robust business model with multiple revenue streams. The</w:t>
      </w:r>
      <w:r>
        <w:t xml:space="preserve"> </w:t>
      </w:r>
      <w:r>
        <w:rPr>
          <w:b/>
          <w:bCs/>
        </w:rPr>
        <w:t xml:space="preserve">hardware sales</w:t>
      </w:r>
      <w:r>
        <w:t xml:space="preserve"> </w:t>
      </w:r>
      <w:r>
        <w:t xml:space="preserve">drive the expansion of the user base, while</w:t>
      </w:r>
      <w:r>
        <w:t xml:space="preserve"> </w:t>
      </w:r>
      <w:r>
        <w:rPr>
          <w:b/>
          <w:bCs/>
        </w:rPr>
        <w:t xml:space="preserve">SaaS subscriptions</w:t>
      </w:r>
      <w:r>
        <w:t xml:space="preserve"> </w:t>
      </w:r>
      <w:r>
        <w:t xml:space="preserve">and</w:t>
      </w:r>
      <w:r>
        <w:t xml:space="preserve"> </w:t>
      </w:r>
      <w:r>
        <w:rPr>
          <w:b/>
          <w:bCs/>
        </w:rPr>
        <w:t xml:space="preserve">catalog sales</w:t>
      </w:r>
      <w:r>
        <w:t xml:space="preserve"> </w:t>
      </w:r>
      <w:r>
        <w:t xml:space="preserve">provide ongoing and higher-margin income. Gross margins improve over time (from ~50% in Year1 to ~70% by Year5) due to the growing share of SaaS/software revenue and economies of scale in production. The company transitions from losses to a healthy EBITDA margin by Year5, underscoring the scalability of the model. These projections, based on reasonable assumptions, show a path for the startup from initial launch through high-growth scaling, reaching</w:t>
      </w:r>
      <w:r>
        <w:t xml:space="preserve"> </w:t>
      </w:r>
      <w:r>
        <w:rPr>
          <w:b/>
          <w:bCs/>
        </w:rPr>
        <w:t xml:space="preserve">~$7.8 million in revenue and ~$3.3 million EBITDA in Year5</w:t>
      </w:r>
      <w:r>
        <w:t xml:space="preserve">. With this financial outlook, AEGIS/Wraith can make a compelling case to investors – highlighting not just revenue growth but the evolution toward a recurring-revenue, high-margin enterprise</w:t>
      </w:r>
      <w:r>
        <w:t xml:space="preserve"> </w:t>
      </w:r>
      <w:hyperlink r:id="rId21">
        <w:r>
          <w:rPr>
            <w:rStyle w:val="Hyperlink"/>
          </w:rPr>
          <w:t xml:space="preserve">[1]</w:t>
        </w:r>
      </w:hyperlink>
      <w:hyperlink r:id="rId22">
        <w:r>
          <w:rPr>
            <w:rStyle w:val="Hyperlink"/>
          </w:rPr>
          <w:t xml:space="preserve">[2]</w:t>
        </w:r>
      </w:hyperlink>
      <w:r>
        <w:t xml:space="preserve">.</w:t>
      </w:r>
    </w:p>
    <w:p>
      <w:pPr>
        <w:pStyle w:val="BodyText"/>
      </w:pPr>
      <w:r>
        <w:rPr>
          <w:b/>
          <w:bCs/>
        </w:rPr>
        <w:t xml:space="preserve">Sources:</w:t>
      </w:r>
      <w:r>
        <w:t xml:space="preserve"> </w:t>
      </w:r>
      <w:r>
        <w:t xml:space="preserve">The assumptions and industry benchmarks used (e.g. hardware vs. SaaS margins and cost structure) are informed by typical hardware startup metrics and SaaS benchmarks. For instance, hardware COGS ~30% of price is a common target</w:t>
      </w:r>
      <w:hyperlink r:id="rId22">
        <w:r>
          <w:rPr>
            <w:rStyle w:val="Hyperlink"/>
          </w:rPr>
          <w:t xml:space="preserve">[2]</w:t>
        </w:r>
      </w:hyperlink>
      <w:r>
        <w:t xml:space="preserve">, and successful SaaS businesses often achieve 75–80% gross margins</w:t>
      </w:r>
      <w:hyperlink r:id="rId24">
        <w:r>
          <w:rPr>
            <w:rStyle w:val="Hyperlink"/>
          </w:rPr>
          <w:t xml:space="preserve">[4]</w:t>
        </w:r>
      </w:hyperlink>
      <w:r>
        <w:t xml:space="preserve">. We have treated cloud/telemetry costs as COGS consistent with standard SaaS accounting (hosting/support costs scale with users)</w:t>
      </w:r>
      <w:hyperlink r:id="rId23">
        <w:r>
          <w:rPr>
            <w:rStyle w:val="Hyperlink"/>
          </w:rPr>
          <w:t xml:space="preserve">[3]</w:t>
        </w:r>
      </w:hyperlink>
      <w:r>
        <w:t xml:space="preserve">. Additionally, incorporating recurring revenue via subscriptions is known to add stability and value to a hardware business</w:t>
      </w:r>
      <w:hyperlink r:id="rId21">
        <w:r>
          <w:rPr>
            <w:rStyle w:val="Hyperlink"/>
          </w:rPr>
          <w:t xml:space="preserve">[1]</w:t>
        </w:r>
      </w:hyperlink>
      <w:r>
        <w:t xml:space="preserve">. These sources support the rationale behind our projections and the chosen financial model.</w:t>
      </w:r>
    </w:p>
    <w:bookmarkEnd w:id="28"/>
    <w:bookmarkEnd w:id="29"/>
    <w:bookmarkEnd w:id="30"/>
    <w:p>
      <w:r>
        <w:pict>
          <v:rect style="width:0;height:1.5pt" o:hralign="center" o:hrstd="t" o:hr="t"/>
        </w:pict>
      </w:r>
    </w:p>
    <w:bookmarkStart w:id="34" w:name="citations"/>
    <w:p>
      <w:pPr>
        <w:pStyle w:val="FirstParagraph"/>
      </w:pPr>
      <w:hyperlink r:id="rId21">
        <w:r>
          <w:rPr>
            <w:rStyle w:val="Hyperlink"/>
          </w:rPr>
          <w:t xml:space="preserve">[1]</w:t>
        </w:r>
      </w:hyperlink>
      <w:r>
        <w:t xml:space="preserve"> </w:t>
      </w:r>
      <w:r>
        <w:t xml:space="preserve">10 Hardware Companies with a Recurring Revenue Business Model</w:t>
      </w:r>
    </w:p>
    <w:p>
      <w:pPr>
        <w:pStyle w:val="BodyText"/>
      </w:pPr>
      <w:hyperlink r:id="rId31">
        <w:r>
          <w:rPr>
            <w:rStyle w:val="Hyperlink"/>
          </w:rPr>
          <w:t xml:space="preserve">https://predictabledesigns.com/hardware-companies-with-recurring-revenue-business-model/</w:t>
        </w:r>
      </w:hyperlink>
    </w:p>
    <w:p>
      <w:pPr>
        <w:pStyle w:val="BodyText"/>
      </w:pPr>
      <w:hyperlink r:id="rId22">
        <w:r>
          <w:rPr>
            <w:rStyle w:val="Hyperlink"/>
          </w:rPr>
          <w:t xml:space="preserve">[2]</w:t>
        </w:r>
      </w:hyperlink>
      <w:r>
        <w:t xml:space="preserve"> </w:t>
      </w:r>
      <w:r>
        <w:t xml:space="preserve">Hardware margins question : r/hwstartups</w:t>
      </w:r>
    </w:p>
    <w:p>
      <w:pPr>
        <w:pStyle w:val="BodyText"/>
      </w:pPr>
      <w:hyperlink r:id="rId32">
        <w:r>
          <w:rPr>
            <w:rStyle w:val="Hyperlink"/>
          </w:rPr>
          <w:t xml:space="preserve">https://www.reddit.com/r/hwstartups/comments/1gbm8t6/hardware_margins_question/</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r>
        <w:t xml:space="preserve">SaaS gross margin explained | Stripe</w:t>
      </w:r>
    </w:p>
    <w:p>
      <w:pPr>
        <w:pStyle w:val="BodyText"/>
      </w:pPr>
      <w:hyperlink r:id="rId33">
        <w:r>
          <w:rPr>
            <w:rStyle w:val="Hyperlink"/>
          </w:rPr>
          <w:t xml:space="preserve">https://stripe.com/resources/more/saas-gross-margin-explained-what-it-is-and-why-it-is-important</w:t>
        </w:r>
      </w:hyperlink>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https://predictabledesigns.com/hardware-companies-with-recurring-revenue-business-model/" TargetMode="External" /><Relationship Type="http://schemas.openxmlformats.org/officeDocument/2006/relationships/hyperlink" Id="rId21" Target="https://predictabledesigns.com/hardware-companies-with-recurring-revenue-business-model/#:~:text=recurring%20revenue%20into%20your%20hardware,business%20model" TargetMode="External" /><Relationship Type="http://schemas.openxmlformats.org/officeDocument/2006/relationships/hyperlink" Id="rId33" Target="https://stripe.com/resources/more/saas-gross-margin-explained-what-it-is-and-why-it-is-important" TargetMode="External" /><Relationship Type="http://schemas.openxmlformats.org/officeDocument/2006/relationships/hyperlink" Id="rId24" Target="https://stripe.com/resources/more/saas-gross-margin-explained-what-it-is-and-why-it-is-important#:~:text=,tuned%20operations%20and%20pricing" TargetMode="External" /><Relationship Type="http://schemas.openxmlformats.org/officeDocument/2006/relationships/hyperlink" Id="rId23" Target="https://stripe.com/resources/more/saas-gross-margin-explained-what-it-is-and-why-it-is-important#:~:text=The%20cost%20of%20goods%20sold,SaaS%20businesses%20typically%20will%20include" TargetMode="External" /><Relationship Type="http://schemas.openxmlformats.org/officeDocument/2006/relationships/hyperlink" Id="rId32" Target="https://www.reddit.com/r/hwstartups/comments/1gbm8t6/hardware_margins_question/" TargetMode="External" /><Relationship Type="http://schemas.openxmlformats.org/officeDocument/2006/relationships/hyperlink" Id="rId22" Target="https://www.reddit.com/r/hwstartups/comments/1gbm8t6/hardware_margins_question/#:~:text=%E2%80%A2%20%201y%20ago" TargetMode="External" /></Relationships>
</file>

<file path=word/_rels/footnotes.xml.rels><?xml version="1.0" encoding="UTF-8"?><Relationships xmlns="http://schemas.openxmlformats.org/package/2006/relationships"><Relationship Type="http://schemas.openxmlformats.org/officeDocument/2006/relationships/hyperlink" Id="rId31" Target="https://predictabledesigns.com/hardware-companies-with-recurring-revenue-business-model/" TargetMode="External" /><Relationship Type="http://schemas.openxmlformats.org/officeDocument/2006/relationships/hyperlink" Id="rId21" Target="https://predictabledesigns.com/hardware-companies-with-recurring-revenue-business-model/#:~:text=recurring%20revenue%20into%20your%20hardware,business%20model" TargetMode="External" /><Relationship Type="http://schemas.openxmlformats.org/officeDocument/2006/relationships/hyperlink" Id="rId33" Target="https://stripe.com/resources/more/saas-gross-margin-explained-what-it-is-and-why-it-is-important" TargetMode="External" /><Relationship Type="http://schemas.openxmlformats.org/officeDocument/2006/relationships/hyperlink" Id="rId24" Target="https://stripe.com/resources/more/saas-gross-margin-explained-what-it-is-and-why-it-is-important#:~:text=,tuned%20operations%20and%20pricing" TargetMode="External" /><Relationship Type="http://schemas.openxmlformats.org/officeDocument/2006/relationships/hyperlink" Id="rId23" Target="https://stripe.com/resources/more/saas-gross-margin-explained-what-it-is-and-why-it-is-important#:~:text=The%20cost%20of%20goods%20sold,SaaS%20businesses%20typically%20will%20include" TargetMode="External" /><Relationship Type="http://schemas.openxmlformats.org/officeDocument/2006/relationships/hyperlink" Id="rId32" Target="https://www.reddit.com/r/hwstartups/comments/1gbm8t6/hardware_margins_question/" TargetMode="External" /><Relationship Type="http://schemas.openxmlformats.org/officeDocument/2006/relationships/hyperlink" Id="rId22" Target="https://www.reddit.com/r/hwstartups/comments/1gbm8t6/hardware_margins_question/#:~:text=%E2%80%A2%20%201y%20ag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2025-11-13T03:03:46Z</dcterms:created>
  <dcterms:modified xsi:type="dcterms:W3CDTF">2025-11-13T03:03:46Z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