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8AEC6">
      <w:pPr>
        <w:spacing w:after="200"/>
        <w:jc w:val="center"/>
      </w:pPr>
      <w:r>
        <w:rPr>
          <w:rFonts w:ascii="方正小标宋简体" w:hAnsi="方正小标宋简体" w:eastAsia="方正小标宋简体"/>
          <w:b/>
          <w:sz w:val="36"/>
        </w:rPr>
        <w:t>关于</w:t>
      </w:r>
      <w:r>
        <w:rPr>
          <w:rFonts w:hint="eastAsia" w:ascii="方正小标宋简体" w:hAnsi="方正小标宋简体" w:eastAsia="方正小标宋简体"/>
          <w:b/>
          <w:sz w:val="36"/>
          <w:lang w:val="en-US" w:eastAsia="zh-CN"/>
        </w:rPr>
        <w:t>云上一机接入</w:t>
      </w:r>
      <w:r>
        <w:rPr>
          <w:rFonts w:ascii="方正小标宋简体" w:hAnsi="方正小标宋简体" w:eastAsia="方正小标宋简体"/>
          <w:b/>
          <w:sz w:val="36"/>
        </w:rPr>
        <w:t>商旅平台提升差旅管理质效的汇报</w:t>
      </w:r>
    </w:p>
    <w:p w14:paraId="66946E18">
      <w:pPr>
        <w:spacing w:after="40" w:line="360" w:lineRule="exact"/>
        <w:ind w:firstLine="480"/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  <w:t>根据现有内部数据，并结合商旅平台通用服务能力，对公司差旅管理导入统一商旅平台的经济性和管理效益进行了测算。现有内蒙古数构工业互联网科技有限公司2025年度差旅数据，样本覆盖 2024 年 12 月 19 日至 2025 年 12 月 28 日，共 90 单、18 名出差人员，基本覆盖一个完整年度</w:t>
      </w:r>
      <w:r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  <w:t>。样本期付款金额合计 206570.31 元，其中交通费 66931.50 元、酒店花费 94332.78 元，酒店和交通两项占付款金额的 78.0</w:t>
      </w:r>
      <w:r>
        <w:rPr>
          <w:rFonts w:hint="eastAsia"/>
          <w:b w:val="0"/>
          <w:sz w:val="24"/>
          <w:szCs w:val="24"/>
          <w:lang w:val="en-US" w:eastAsia="zh-CN"/>
        </w:rPr>
        <w:t>7</w:t>
      </w:r>
      <w:r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  <w:t>%，是差旅降本最主要的抓手。</w:t>
      </w:r>
    </w:p>
    <w:p w14:paraId="18D7AAB1">
      <w:pPr>
        <w:spacing w:after="40" w:line="360" w:lineRule="exact"/>
        <w:ind w:firstLine="480"/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  <w:t>从现行费用结构看，总经理、副总经理住宿为实报实销，科长、科员等其他人员执行包干制出差补贴。为保持现行差旅政策稳定，本次测算不调整包干制补贴口径，仅将实报实销住宿纳入平台统一结算，并按总经理酒店花费 24412.81 元、副总经理酒店花费 25263.77 元，合计 49676.58 元作为住宿价格优化基数。结合商旅平台协议酒店价格情况，实际酒店折扣通常可达到约 20%，为体现稳健性，下文以 10% 平均优惠作为基准测算</w:t>
      </w:r>
      <w:r>
        <w:rPr>
          <w:rFonts w:hint="eastAsia"/>
          <w:b w:val="0"/>
          <w:sz w:val="24"/>
          <w:szCs w:val="24"/>
          <w:lang w:val="en-US" w:eastAsia="zh-CN"/>
        </w:rPr>
        <w:t>，即实报实销</w:t>
      </w:r>
      <w:r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  <w:t>住宿端节省约 4967.66 元。</w:t>
      </w:r>
    </w:p>
    <w:p w14:paraId="2DB30B1D">
      <w:pPr>
        <w:spacing w:after="40" w:line="360" w:lineRule="exact"/>
        <w:ind w:firstLine="480"/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  <w:t>按本次样本测算，机票经济舱 54 段、动车高铁及普通火车 139 段，如按商旅平台机票每段 12 元、火车票每段 5 元收取服务费计算，票务服务费约 1343.00 元。需要说明的是，现有机票供应商也会按每笔 10 元收取手续费，样本中 54 段机票对应现有手续费约 540.00 元；若以新增成本口径比较，导入平台后的票务服务费净增约 803.00 元。按总经理、副总经理实际酒店花费 49676.58 元测算，酒店端只需取得约 1.62% 的平均折扣即可覆盖该净增费用。</w:t>
      </w:r>
      <w:bookmarkStart w:id="0" w:name="_GoBack"/>
      <w:bookmarkEnd w:id="0"/>
    </w:p>
    <w:p w14:paraId="728AF307">
      <w:pPr>
        <w:spacing w:after="40" w:line="360" w:lineRule="exact"/>
        <w:ind w:firstLine="480"/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  <w:t>账期利息测算口径为：样本期付款金额 206570.31 元，按全年 12 个月平均计算，月均差旅费用约 17214.19 元；若商旅平台给予 2 个月账期，则企业平均可留存资金约 34428.39 元。参照中国银行、建设银行 2025 年 5 月 20 日人民币存款挂牌利率，七天通知存款年利率为 0.30%，按“34428.39 元 × 0.30%”测算，年化利息约 103.29 元，实际收益以开户银行执行利率和资金安排为准。该项金额虽不大，但与酒店折扣和既有机票手续费替代合并计算后，可进一步提高平台导入后的净节省水平。</w:t>
      </w:r>
    </w:p>
    <w:p w14:paraId="047EB62E">
      <w:pPr>
        <w:spacing w:after="40" w:line="360" w:lineRule="exact"/>
        <w:ind w:firstLine="480"/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</w:pPr>
      <w:r>
        <w:rPr>
          <w:rFonts w:hint="eastAsia"/>
          <w:b w:val="0"/>
          <w:sz w:val="24"/>
          <w:szCs w:val="24"/>
          <w:lang w:val="en-US" w:eastAsia="zh-CN"/>
        </w:rPr>
        <w:t>结合上述说明，</w:t>
      </w:r>
      <w:r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  <w:t>按 10% 平均酒店优惠的稳健口径测算，仅按总经理、副总经理实报实销住宿测算，住宿端节省约 4967.66 元，扣除票务服务费净增额并加上账期利息后，年度直接净节省约 4267.95 元，占样本期付款总额 206570.31 元的 2.07%，占总经理、副总经理实际酒店花费 49676.58 元的 8.59%，占酒店与交通两项合计 161264.28 元的 2.65%。若按实际约 20% 酒店折扣测算，节省空间还将进一步扩大，年度直接净节省约 9235.61 元，占样本期付款总额 206570.31 元的 4.47%。</w:t>
      </w:r>
    </w:p>
    <w:p w14:paraId="3F46858A">
      <w:pPr>
        <w:spacing w:after="40" w:line="360" w:lineRule="exact"/>
        <w:ind w:firstLine="480"/>
        <w:rPr>
          <w:rFonts w:hint="eastAsia" w:ascii="仿宋_GB2312" w:hAnsi="仿宋_GB2312" w:eastAsia="仿宋_GB2312"/>
          <w:b/>
          <w:bCs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/>
          <w:b/>
          <w:bCs/>
          <w:sz w:val="24"/>
          <w:szCs w:val="24"/>
          <w:lang w:val="en-US" w:eastAsia="zh-CN"/>
        </w:rPr>
        <w:t>上述测算说明，商旅平台并不是简单增加机票及火车票订票服务费，而是以酒店资源折扣、集中议价、账期结算和在线管控共同抵消并超过服务费的额外成本。</w:t>
      </w:r>
    </w:p>
    <w:p w14:paraId="1145E7CE">
      <w:pPr>
        <w:spacing w:after="40" w:line="360" w:lineRule="exact"/>
        <w:ind w:firstLine="480"/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  <w:t>在增效方面，现行流程主要消耗在员工自行比价订票订房、临时退改、发票获取、报销填报、财务审核和对账归档等环节。按样本 90 单、193 个可收费交通票段测算，人工模式下每单订票订房及比价约 20 分钟，平台化后可压缩至约 8 分钟，单项节省 12 分钟、降幅约 60%；发票获取和报销材料整理由约 60 分钟压缩至约 3 分钟，单项节省 57 分钟、降幅约 95%；财务审核对账由约 8 分钟压缩至约 3 分钟，单项节省 5 分钟、降幅约 62.5%；退改处理按 15% 交通票段发生退改测算，由每次约 15 分钟压缩至约 5 分钟，单次节省 10 分钟、降幅约 66.7%。据此测算，现行人工流程全年约需 8354 分钟，平台化后约需 1405 分钟，全年可节省约 6949 分钟，即约 116 小时，整体耗时下降约 83.2%，相当于释放约 14.5 个工作日的有效工时。</w:t>
      </w:r>
    </w:p>
    <w:p w14:paraId="4BCAA371">
      <w:pPr>
        <w:spacing w:before="120" w:after="120"/>
        <w:jc w:val="center"/>
      </w:pPr>
      <w:r>
        <w:rPr>
          <w:rFonts w:ascii="黑体" w:hAnsi="黑体" w:eastAsia="黑体"/>
          <w:b/>
          <w:sz w:val="22"/>
        </w:rPr>
        <w:t>表1  商旅平台导入降本增效测算汇总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2"/>
        <w:gridCol w:w="1902"/>
        <w:gridCol w:w="3114"/>
        <w:gridCol w:w="1965"/>
        <w:gridCol w:w="1763"/>
      </w:tblGrid>
      <w:tr w14:paraId="62544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19CB0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1"/>
              </w:rPr>
              <w:t>类别</w:t>
            </w:r>
          </w:p>
        </w:tc>
        <w:tc>
          <w:tcPr>
            <w:tcW w:w="190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5D728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1"/>
              </w:rPr>
              <w:t>组成部分</w:t>
            </w:r>
          </w:p>
        </w:tc>
        <w:tc>
          <w:tcPr>
            <w:tcW w:w="3114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A137DF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1"/>
              </w:rPr>
              <w:t>测算口径</w:t>
            </w:r>
          </w:p>
        </w:tc>
        <w:tc>
          <w:tcPr>
            <w:tcW w:w="1965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8E5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1"/>
              </w:rPr>
              <w:t>测算结果</w:t>
            </w:r>
          </w:p>
        </w:tc>
        <w:tc>
          <w:tcPr>
            <w:tcW w:w="1763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CDC289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color w:val="FFFFFF"/>
                <w:sz w:val="21"/>
              </w:rPr>
              <w:t>最终占比</w:t>
            </w:r>
          </w:p>
        </w:tc>
      </w:tr>
      <w:tr w14:paraId="4493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2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4E377A">
            <w:pPr>
              <w:spacing w:after="0" w:line="276" w:lineRule="auto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19"/>
              </w:rPr>
              <w:t>降本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单项说明</w:t>
            </w:r>
          </w:p>
        </w:tc>
        <w:tc>
          <w:tcPr>
            <w:tcW w:w="190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532906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住宿协议价优惠</w:t>
            </w:r>
          </w:p>
        </w:tc>
        <w:tc>
          <w:tcPr>
            <w:tcW w:w="31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E68C1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实报实销住宿基数 49676.58 元，按 10% 平均优惠测算</w:t>
            </w:r>
          </w:p>
        </w:tc>
        <w:tc>
          <w:tcPr>
            <w:tcW w:w="19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BFCA97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+4967.66 元</w:t>
            </w:r>
          </w:p>
        </w:tc>
        <w:tc>
          <w:tcPr>
            <w:tcW w:w="176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2E2780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占净节省 116.39%</w:t>
            </w:r>
          </w:p>
        </w:tc>
      </w:tr>
      <w:tr w14:paraId="35B7D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2" w:type="dxa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DCCE53">
            <w:pPr>
              <w:spacing w:after="0" w:line="276" w:lineRule="auto"/>
              <w:jc w:val="center"/>
            </w:pPr>
          </w:p>
        </w:tc>
        <w:tc>
          <w:tcPr>
            <w:tcW w:w="190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812AFE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票务服务费净增</w:t>
            </w:r>
          </w:p>
        </w:tc>
        <w:tc>
          <w:tcPr>
            <w:tcW w:w="31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D5D4FA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平台票务服务费 1343.00 元，扣减现有机票手续费 540.00 元</w:t>
            </w:r>
          </w:p>
        </w:tc>
        <w:tc>
          <w:tcPr>
            <w:tcW w:w="19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5F4E2A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-803.00 元</w:t>
            </w:r>
          </w:p>
        </w:tc>
        <w:tc>
          <w:tcPr>
            <w:tcW w:w="176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6D361E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占净节省 -18.81%</w:t>
            </w:r>
          </w:p>
        </w:tc>
      </w:tr>
      <w:tr w14:paraId="24F22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2" w:type="dxa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1B6ADC">
            <w:pPr>
              <w:spacing w:after="0" w:line="276" w:lineRule="auto"/>
              <w:jc w:val="center"/>
            </w:pPr>
          </w:p>
        </w:tc>
        <w:tc>
          <w:tcPr>
            <w:tcW w:w="190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19E27D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账期资金收益</w:t>
            </w:r>
          </w:p>
        </w:tc>
        <w:tc>
          <w:tcPr>
            <w:tcW w:w="31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46B91C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2 个月账期，平均留存资金 34428.39 元，按 0.30% 年利率测算</w:t>
            </w:r>
          </w:p>
        </w:tc>
        <w:tc>
          <w:tcPr>
            <w:tcW w:w="19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172E11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+103.29 元</w:t>
            </w:r>
          </w:p>
        </w:tc>
        <w:tc>
          <w:tcPr>
            <w:tcW w:w="176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5C944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占净节省 2.42%</w:t>
            </w:r>
          </w:p>
        </w:tc>
      </w:tr>
      <w:tr w14:paraId="6BE51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2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317A1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sz w:val="19"/>
              </w:rPr>
              <w:t>降本</w:t>
            </w:r>
            <w:r>
              <w:rPr>
                <w:rFonts w:hint="eastAsia"/>
                <w:b/>
                <w:sz w:val="19"/>
                <w:lang w:val="en-US" w:eastAsia="zh-CN"/>
              </w:rPr>
              <w:t>合</w:t>
            </w:r>
            <w:r>
              <w:rPr>
                <w:rFonts w:ascii="仿宋_GB2312" w:hAnsi="仿宋_GB2312" w:eastAsia="仿宋_GB2312"/>
                <w:b/>
                <w:sz w:val="19"/>
              </w:rPr>
              <w:t>计</w:t>
            </w:r>
          </w:p>
        </w:tc>
        <w:tc>
          <w:tcPr>
            <w:tcW w:w="1902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E56F83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/>
                <w:sz w:val="19"/>
              </w:rPr>
              <w:t>年度直接净节省</w:t>
            </w:r>
          </w:p>
        </w:tc>
        <w:tc>
          <w:tcPr>
            <w:tcW w:w="3114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5C442F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/>
                <w:sz w:val="19"/>
              </w:rPr>
              <w:t>住宿优惠 - 票务净增 + 账期利息</w:t>
            </w:r>
          </w:p>
        </w:tc>
        <w:tc>
          <w:tcPr>
            <w:tcW w:w="1965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82072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sz w:val="19"/>
              </w:rPr>
              <w:t>4267.95 元</w:t>
            </w:r>
          </w:p>
        </w:tc>
        <w:tc>
          <w:tcPr>
            <w:tcW w:w="1763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E4FB30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sz w:val="19"/>
              </w:rPr>
              <w:t>占样本付款总额 2.07%</w:t>
            </w:r>
          </w:p>
        </w:tc>
      </w:tr>
      <w:tr w14:paraId="3E6B8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2" w:type="dxa"/>
            <w:vMerge w:val="restart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2C88E6">
            <w:pPr>
              <w:spacing w:after="0" w:line="276" w:lineRule="auto"/>
              <w:jc w:val="center"/>
              <w:rPr>
                <w:rFonts w:hint="default" w:eastAsia="仿宋_GB2312"/>
                <w:lang w:val="en-US" w:eastAsia="zh-CN"/>
              </w:rPr>
            </w:pPr>
            <w:r>
              <w:rPr>
                <w:rFonts w:ascii="仿宋_GB2312" w:hAnsi="仿宋_GB2312" w:eastAsia="仿宋_GB2312"/>
                <w:b w:val="0"/>
                <w:sz w:val="19"/>
              </w:rPr>
              <w:t>增效</w:t>
            </w:r>
            <w:r>
              <w:rPr>
                <w:rFonts w:hint="eastAsia"/>
                <w:b w:val="0"/>
                <w:sz w:val="19"/>
                <w:lang w:val="en-US" w:eastAsia="zh-CN"/>
              </w:rPr>
              <w:t>单项说明</w:t>
            </w:r>
          </w:p>
        </w:tc>
        <w:tc>
          <w:tcPr>
            <w:tcW w:w="190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FDD2F1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订票订房及比价</w:t>
            </w:r>
          </w:p>
        </w:tc>
        <w:tc>
          <w:tcPr>
            <w:tcW w:w="31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E6167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90 单，每单由 20 分钟压缩至 8 分钟</w:t>
            </w:r>
          </w:p>
        </w:tc>
        <w:tc>
          <w:tcPr>
            <w:tcW w:w="19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D8940A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节省 1080 分钟</w:t>
            </w:r>
          </w:p>
        </w:tc>
        <w:tc>
          <w:tcPr>
            <w:tcW w:w="176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126CE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占节省工时 15.54%</w:t>
            </w:r>
          </w:p>
        </w:tc>
      </w:tr>
      <w:tr w14:paraId="7F935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2" w:type="dxa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698CC7">
            <w:pPr>
              <w:spacing w:after="0" w:line="276" w:lineRule="auto"/>
              <w:jc w:val="center"/>
            </w:pPr>
          </w:p>
        </w:tc>
        <w:tc>
          <w:tcPr>
            <w:tcW w:w="190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7C52F0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发票获取及报销材料整理</w:t>
            </w:r>
          </w:p>
        </w:tc>
        <w:tc>
          <w:tcPr>
            <w:tcW w:w="31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E0C357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90 单，每单由 60 分钟压缩至 3 分钟</w:t>
            </w:r>
          </w:p>
        </w:tc>
        <w:tc>
          <w:tcPr>
            <w:tcW w:w="19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EC84D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节省 5130 分钟</w:t>
            </w:r>
          </w:p>
        </w:tc>
        <w:tc>
          <w:tcPr>
            <w:tcW w:w="176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4A70AD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占节省工时 73.83%</w:t>
            </w:r>
          </w:p>
        </w:tc>
      </w:tr>
      <w:tr w14:paraId="406A1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2" w:type="dxa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244AF7">
            <w:pPr>
              <w:spacing w:after="0" w:line="276" w:lineRule="auto"/>
              <w:jc w:val="center"/>
            </w:pPr>
          </w:p>
        </w:tc>
        <w:tc>
          <w:tcPr>
            <w:tcW w:w="190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CA62D0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财务审核及对账</w:t>
            </w:r>
          </w:p>
        </w:tc>
        <w:tc>
          <w:tcPr>
            <w:tcW w:w="31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89BB96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90 单，每单由 8 分钟压缩至 3 分钟</w:t>
            </w:r>
          </w:p>
        </w:tc>
        <w:tc>
          <w:tcPr>
            <w:tcW w:w="19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CACAA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节省 450 分钟</w:t>
            </w:r>
          </w:p>
        </w:tc>
        <w:tc>
          <w:tcPr>
            <w:tcW w:w="176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6FB79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占节省工时 6.48%</w:t>
            </w:r>
          </w:p>
        </w:tc>
      </w:tr>
      <w:tr w14:paraId="0A37F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2" w:type="dxa"/>
            <w:vMerge w:val="continu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2BCA75">
            <w:pPr>
              <w:spacing w:after="0" w:line="276" w:lineRule="auto"/>
              <w:jc w:val="center"/>
            </w:pPr>
          </w:p>
        </w:tc>
        <w:tc>
          <w:tcPr>
            <w:tcW w:w="190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97B50D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退改处理</w:t>
            </w:r>
          </w:p>
        </w:tc>
        <w:tc>
          <w:tcPr>
            <w:tcW w:w="311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7C87A3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 w:val="0"/>
                <w:sz w:val="19"/>
              </w:rPr>
              <w:t>按 193 个交通票段的 15% 发生退改，每次由 15 分钟压缩至 5 分钟</w:t>
            </w:r>
          </w:p>
        </w:tc>
        <w:tc>
          <w:tcPr>
            <w:tcW w:w="19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AC2866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节省约 289 分钟</w:t>
            </w:r>
          </w:p>
        </w:tc>
        <w:tc>
          <w:tcPr>
            <w:tcW w:w="1763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3C3B51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 w:val="0"/>
                <w:sz w:val="19"/>
              </w:rPr>
              <w:t>占节省工时 4.16%</w:t>
            </w:r>
          </w:p>
        </w:tc>
      </w:tr>
      <w:tr w14:paraId="33F78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2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C9472A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sz w:val="19"/>
              </w:rPr>
              <w:t>增效</w:t>
            </w:r>
            <w:r>
              <w:rPr>
                <w:rFonts w:hint="eastAsia"/>
                <w:b/>
                <w:sz w:val="19"/>
                <w:lang w:val="en-US" w:eastAsia="zh-CN"/>
              </w:rPr>
              <w:t>合</w:t>
            </w:r>
            <w:r>
              <w:rPr>
                <w:rFonts w:ascii="仿宋_GB2312" w:hAnsi="仿宋_GB2312" w:eastAsia="仿宋_GB2312"/>
                <w:b/>
                <w:sz w:val="19"/>
              </w:rPr>
              <w:t>计</w:t>
            </w:r>
          </w:p>
        </w:tc>
        <w:tc>
          <w:tcPr>
            <w:tcW w:w="1902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45EAA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/>
                <w:sz w:val="19"/>
              </w:rPr>
              <w:t>年度事务性工时释放</w:t>
            </w:r>
          </w:p>
        </w:tc>
        <w:tc>
          <w:tcPr>
            <w:tcW w:w="3114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C4207">
            <w:pPr>
              <w:spacing w:after="0" w:line="276" w:lineRule="auto"/>
              <w:jc w:val="left"/>
            </w:pPr>
            <w:r>
              <w:rPr>
                <w:rFonts w:ascii="仿宋_GB2312" w:hAnsi="仿宋_GB2312" w:eastAsia="仿宋_GB2312"/>
                <w:b/>
                <w:sz w:val="19"/>
              </w:rPr>
              <w:t>现行约 8354 分钟，平台化后约 1405 分钟</w:t>
            </w:r>
          </w:p>
        </w:tc>
        <w:tc>
          <w:tcPr>
            <w:tcW w:w="1965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C81BC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sz w:val="19"/>
              </w:rPr>
              <w:t>节省约 6949 分钟（约 116 小时）</w:t>
            </w:r>
          </w:p>
        </w:tc>
        <w:tc>
          <w:tcPr>
            <w:tcW w:w="1763" w:type="dxa"/>
            <w:shd w:val="clear" w:color="auto" w:fill="D9EA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CBE8B4">
            <w:pPr>
              <w:spacing w:after="0" w:line="276" w:lineRule="auto"/>
              <w:jc w:val="center"/>
            </w:pPr>
            <w:r>
              <w:rPr>
                <w:rFonts w:ascii="仿宋_GB2312" w:hAnsi="仿宋_GB2312" w:eastAsia="仿宋_GB2312"/>
                <w:b/>
                <w:sz w:val="19"/>
              </w:rPr>
              <w:t>整体耗时下降 83.2%</w:t>
            </w:r>
          </w:p>
        </w:tc>
      </w:tr>
    </w:tbl>
    <w:p w14:paraId="57C79FF1">
      <w:pPr>
        <w:spacing w:after="40" w:line="360" w:lineRule="exact"/>
        <w:ind w:firstLine="480"/>
        <w:rPr>
          <w:rFonts w:ascii="仿宋_GB2312" w:hAnsi="仿宋_GB2312" w:eastAsia="仿宋_GB2312"/>
          <w:b w:val="0"/>
          <w:sz w:val="24"/>
        </w:rPr>
      </w:pPr>
      <w:r>
        <w:rPr>
          <w:rFonts w:ascii="仿宋_GB2312" w:hAnsi="仿宋_GB2312" w:eastAsia="仿宋_GB2312"/>
          <w:b w:val="0"/>
          <w:sz w:val="24"/>
        </w:rPr>
        <w:t>从落地方式看，可先选择出差频次较高、线路相对集中的部门开展试运行，将现有差旅标准、酒店限额、审批权限、发票规则和月结周期一次性配置到平台，并保留必要的人工兜底通道。试运行期间重点观察酒店实际折扣率、退改响应时效、发票准确率、员工使用便利性和月度对账差异，形成 2 至 3 个结算周期的数据闭环后再扩大范围。这样既能避免一次性切换带来的适应成本，也能用真实运营数据校验供应商服务能力和平台降本效果。</w:t>
      </w:r>
    </w:p>
    <w:p w14:paraId="5FF1906A">
      <w:pPr>
        <w:spacing w:after="40" w:line="360" w:lineRule="exact"/>
        <w:ind w:firstLine="480"/>
        <w:rPr>
          <w:rFonts w:hint="eastAsia" w:ascii="仿宋_GB2312" w:hAnsi="仿宋_GB2312" w:eastAsia="仿宋_GB2312"/>
          <w:b/>
          <w:bCs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  <w:t>因此，建议公司在不预设单一合作公司的前提下，按照“资源价格、系统适配、服务响应、账期条件、数据安全、管理报表”等维度开展商旅平台比选，优先选择能够提供酒店协议托管、机票火车票在线退改、对公月结、数电发票、差标管控和管理驾驶舱的平台。以现有样本规模测算，导入平台后直接现金收益已经能够覆盖票务服务费并形成净节约；</w:t>
      </w:r>
      <w:r>
        <w:rPr>
          <w:rFonts w:hint="eastAsia" w:ascii="仿宋_GB2312" w:hAnsi="仿宋_GB2312" w:eastAsia="仿宋_GB2312"/>
          <w:b/>
          <w:bCs/>
          <w:sz w:val="24"/>
          <w:szCs w:val="24"/>
          <w:lang w:val="en-US" w:eastAsia="zh-CN"/>
        </w:rPr>
        <w:t>随着出差规模扩大、协议酒店沉淀和差旅政策刚性执行，降本效果会进一步放大，同时可显著减轻员工和财务部门事务性工作量，提升集团差旅管理的规范性、透明度和运营效率。</w:t>
      </w:r>
    </w:p>
    <w:p w14:paraId="2F053D00">
      <w:pPr>
        <w:spacing w:after="40" w:line="360" w:lineRule="exact"/>
        <w:ind w:firstLine="480"/>
        <w:jc w:val="right"/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  <w:t>汇报单位：内蒙古数构工业互联网科技有限公司</w:t>
      </w:r>
      <w:r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  <w:br w:type="textWrapping"/>
      </w:r>
      <w:r>
        <w:rPr>
          <w:rFonts w:hint="eastAsia" w:ascii="仿宋_GB2312" w:hAnsi="仿宋_GB2312" w:eastAsia="仿宋_GB2312"/>
          <w:b w:val="0"/>
          <w:sz w:val="24"/>
          <w:szCs w:val="24"/>
          <w:lang w:val="en-US" w:eastAsia="zh-CN"/>
        </w:rPr>
        <w:t>2026 年 4 月 27 日</w:t>
      </w:r>
    </w:p>
    <w:sectPr>
      <w:footerReference r:id="rId5" w:type="default"/>
      <w:pgSz w:w="12240" w:h="15840"/>
      <w:pgMar w:top="1134" w:right="1332" w:bottom="1020" w:left="13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小标宋简体">
    <w:altName w:val="方正舒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5D7ED">
    <w:r>
      <w:rPr>
        <w:vanish/>
        <w:color w:val="FFFFFF"/>
        <w:sz w:val="2"/>
      </w:rPr>
      <w:t>WM|作者:高稼和|部门:内蒙古数构工业互联网科技有限公司|日期:2026-04-27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CA1BDD"/>
    <w:rsid w:val="06DD5FDF"/>
    <w:rsid w:val="09C556F2"/>
    <w:rsid w:val="116D7D3E"/>
    <w:rsid w:val="15254C28"/>
    <w:rsid w:val="18A92683"/>
    <w:rsid w:val="18F142B2"/>
    <w:rsid w:val="198C1D89"/>
    <w:rsid w:val="1B0E67CD"/>
    <w:rsid w:val="1D344EA2"/>
    <w:rsid w:val="218548A1"/>
    <w:rsid w:val="26653EED"/>
    <w:rsid w:val="2D2500D2"/>
    <w:rsid w:val="2FF65D56"/>
    <w:rsid w:val="3CF623B7"/>
    <w:rsid w:val="3EC84D62"/>
    <w:rsid w:val="448509DB"/>
    <w:rsid w:val="48711FC6"/>
    <w:rsid w:val="48FF3A76"/>
    <w:rsid w:val="50862F4F"/>
    <w:rsid w:val="54694499"/>
    <w:rsid w:val="5A3963FC"/>
    <w:rsid w:val="5B503CBD"/>
    <w:rsid w:val="663E67A5"/>
    <w:rsid w:val="73DC213A"/>
    <w:rsid w:val="74626AE3"/>
    <w:rsid w:val="76806E42"/>
    <w:rsid w:val="7A5C3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_GB2312" w:hAnsi="仿宋_GB2312" w:eastAsia="仿宋_GB2312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2145</Words>
  <Characters>2541</Characters>
  <Lines>0</Lines>
  <Paragraphs>0</Paragraphs>
  <TotalTime>8</TotalTime>
  <ScaleCrop>false</ScaleCrop>
  <LinksUpToDate>false</LinksUpToDate>
  <CharactersWithSpaces>2764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高稼和</dc:creator>
  <dc:description>Document watermark: WM|作者:高稼和|部门:内蒙古数构工业互联网科技有限公司|日期:2026-04-27</dc:description>
  <cp:keywords>商旅平台;差旅管理;隐形水印</cp:keywords>
  <cp:lastModifiedBy>哈咯Leo</cp:lastModifiedBy>
  <dcterms:modified xsi:type="dcterms:W3CDTF">2026-04-28T09:56:02Z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eyJoZGlkIjoiODJlNWZmYjk0ODllZjY0Nzk1OTIxNWQ5M2IzOWMzOGEiLCJ1c2VySWQiOiI1MjYyMDYwNjIifQ==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FF1252028511439CB24E2CC0F372A504_12</vt:lpwstr>
  </property>
  <property fmtid="{D5CDD505-2E9C-101B-9397-08002B2CF9AE}" pid="5" name="WatermarkAuthor">
    <vt:lpwstr>高稼和</vt:lpwstr>
  </property>
  <property fmtid="{D5CDD505-2E9C-101B-9397-08002B2CF9AE}" pid="6" name="WatermarkDepartment">
    <vt:lpwstr>内蒙古数构工业互联网科技有限公司</vt:lpwstr>
  </property>
  <property fmtid="{D5CDD505-2E9C-101B-9397-08002B2CF9AE}" pid="7" name="WatermarkDate">
    <vt:lpwstr>2026-04-27</vt:lpwstr>
  </property>
  <property fmtid="{D5CDD505-2E9C-101B-9397-08002B2CF9AE}" pid="8" name="WatermarkId">
    <vt:lpwstr>WM|作者:高稼和|部门:内蒙古数构工业互联网科技有限公司|日期:2026-04-27</vt:lpwstr>
  </property>
</Properties>
</file>