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8AEC6">
      <w:pPr>
        <w:pStyle w:val="31"/>
        <w:widowControl/>
        <w:rPr>
          <w:rFonts w:hint="eastAsia" w:ascii="Times New Roman" w:hAnsi="Times New Roman" w:eastAsia="仿宋_GB2312" w:cs="仿宋_GB2312"/>
          <w:b/>
          <w:bCs/>
          <w:spacing w:val="-6"/>
          <w:sz w:val="36"/>
          <w:szCs w:val="36"/>
        </w:rPr>
      </w:pPr>
      <mc:AlternateContent>
        <mc:Choice Requires="wpsCustomData">
          <wpsCustomData:docfieldStart id="0" docfieldname="标题_1" hidden="0" print="1" readonly="0" index="1"/>
        </mc:Choice>
      </mc:AlternateContent>
      <w:r>
        <w:rPr>
          <w:rFonts w:hint="eastAsia" w:ascii="Times New Roman" w:hAnsi="Times New Roman" w:eastAsia="仿宋_GB2312" w:cs="仿宋_GB2312"/>
          <w:b/>
          <w:bCs/>
          <w:spacing w:val="-6"/>
          <w:sz w:val="36"/>
          <w:szCs w:val="36"/>
        </w:rPr>
        <w:t>关于云上一机接入商旅平台提升差旅管理质效议题</w:t>
      </w:r>
      <mc:AlternateContent>
        <mc:Choice Requires="wpsCustomData">
          <wpsCustomData:docfieldEnd id="0"/>
        </mc:Choice>
      </mc:AlternateContent>
    </w:p>
    <w:p w14:paraId="001547CF">
      <w:pPr>
        <w:pStyle w:val="19"/>
        <w:bidi w:val="0"/>
        <w:spacing w:beforeAutospacing="0" w:afterAutospacing="0" w:line="300" w:lineRule="exact"/>
      </w:pPr>
    </w:p>
    <w:p w14:paraId="66946E18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根据现有内部数据，并结合商旅平台通用服务能力，对公司差旅管理导入统一商旅平台的经济性和管理效益进行了测算。现有内蒙古数构工业互联网科技有限公司2025年度差旅数据，样本覆盖 2024 年 12 月 19 日至 2025 年 12 月 28 日，共 90 单、18 名出差人员，基本覆盖一个完整年度。样本期付款金额合计 206570.31 元，其中交通费 66931.50 元、酒店花费 94332.78 元，酒店和交通两项占付款金额的 78.07％，是差旅降本最主要的抓</w:t>
      </w:r>
      <w:bookmarkStart w:id="0" w:name="_GoBack"/>
      <w:bookmarkEnd w:id="0"/>
      <w:r>
        <w:rPr>
          <w:rFonts w:ascii="Times New Roman" w:hAnsi="Times New Roman" w:eastAsia="仿宋_GB2312" w:cs="仿宋_GB2312"/>
          <w:b w:val="0"/>
          <w:sz w:val="32"/>
          <w:szCs w:val="32"/>
        </w:rPr>
        <w:t>手。</w:t>
      </w:r>
    </w:p>
    <w:p w14:paraId="18D7AAB1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从现行费用结构看，总经理、副总经理住宿为实报实销，科长、科员等其他人员执行包干制出差补贴。为保持现行差旅政策稳定，本次测算不调整包干制补贴口径，仅将实报实销住宿纳入平台统一结算，并按总经理酒店花费 24412.81 元、副总经理酒店花费 25263.77 元，合计 49676.58 元作为住宿价格优化基数。结合商旅平台协议酒店价格情况，实际酒店折扣通常可达到约 20％，为体现稳健性，下文以 10％ 平均优惠作为基准测算，即实报实销住宿端节省约 4967.66 元。</w:t>
      </w:r>
    </w:p>
    <w:p w14:paraId="2DB30B1D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按本次样本测算，机票经济舱 54 段、动车高铁及普通火车 139 段，如按商旅平台机票每段 12 元、火车票每段 5 元收取服务费计算，票务服务费约 1343.00 元。需要说明的是，现有机票供应商也会按每笔 10 元收取手续费，样本中 54 段机票对应现有手续费约 540.00 元；若以新增成本口径比较，导入平台后的票务服务费净增约 803.00 元。按总经理、副总经理实际酒店花费 49676.58 元测算，酒店端只需取得约 1.62％ 的平均折扣即可覆盖该净增费用。</w:t>
      </w:r>
    </w:p>
    <w:p w14:paraId="728AF307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账期利息测算口径为：样本期付款金额 206570.31 元，按全年 12 个月平均计算，月均差旅费用约 17214.19 元；若商旅平台给予 2 个月账期，则企业平均可留存资金约 34428.39 元。参照中国银行、建设银行 2025 年 5 月 20 日人民币存款挂牌利率，七天通知存款年利率为 0.30％，按“34428.39 元 × 0.30％”测算，年化利息约 103.29 元，实际收益以开户银行执行利率和资金安排为准。该项金额虽不大，但与酒店折扣和既有机票手续费替代合并计算后，可进一步提高平台导入后的净节省水平。</w:t>
      </w:r>
    </w:p>
    <w:p w14:paraId="047EB62E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结合上述说明，按 10％ 平均酒店优惠的稳健口径测算，仅按总经理、副总经理实报实销住宿测算，住宿端节省约 4967.66 元，扣除票务服务费净增额并加上账期利息后，年度直接净节省约 4267.95 元，占样本期付款总额 206570.31 元的 2.07％，占总经理、副总经理实际酒店花费 49676.58 元的 8.59％，占酒店与交通两项合计 161264.28 元的 2.65％。若按实际约 20％ 酒店折扣测算，节省空间还将进一步扩大，年度直接净节省约 9235.61 元，占样本期付款总额 206570.31 元的 4.47％。</w:t>
      </w:r>
    </w:p>
    <w:p w14:paraId="3F46858A">
      <w:pPr>
        <w:pStyle w:val="19"/>
        <w:widowControl/>
        <w:rPr>
          <w:rFonts w:ascii="Times New Roman" w:hAnsi="Times New Roman" w:eastAsia="仿宋_GB2312" w:cs="仿宋_GB2312"/>
          <w:b/>
          <w:sz w:val="32"/>
          <w:szCs w:val="32"/>
        </w:rPr>
      </w:pPr>
      <w:r>
        <w:rPr>
          <w:rFonts w:ascii="Times New Roman" w:hAnsi="Times New Roman" w:eastAsia="仿宋_GB2312" w:cs="仿宋_GB2312"/>
          <w:b/>
          <w:sz w:val="32"/>
          <w:szCs w:val="32"/>
        </w:rPr>
        <w:t>上述测算说明，商旅平台并不是简单增加机票及火车票订票服务费，而是以酒店资源折扣、集中议价、账期结算和在线管控共同抵消并超过服务费的额外成本。</w:t>
      </w:r>
    </w:p>
    <w:p w14:paraId="1145E7CE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在增效方面，现行流程主要消耗在员工自行比价订票订房、临时退改、发票获取、报销填报、财务审核和对账归档等环节。按样本 90 单、193 个可收费交通票段测算，人工模式下每单订票订房及比价约 20 分钟，平台化后可压缩至约 8 分钟，单项节省 12 分钟、降幅约 60％；发票获取和报销材料整理由约 60 分钟压缩至约 3 分钟，单项节省 57 分钟、降幅约 95％；财务审核对账由约 8 分钟压缩至约 3 分钟，单项节省 5 分钟、降幅约 62.5％；退改处理按 15％ 交通票段发生退改测算，由每次约 15 分钟压缩至约 5 分钟，单次节省 10 分钟、降幅约 66.7％。据此测算，现行人工流程全年约需 8354 分钟，平台化后约需 1405 分钟，全年可节省约 6949 分钟，即约 116 小时，整体耗时下降约 83.2％，相当于释放约 14.5 个工作日的有效工时。</w:t>
      </w:r>
    </w:p>
    <w:p w14:paraId="4BCAA371">
      <w:pPr>
        <w:pStyle w:val="164"/>
        <w:widowControl/>
      </w:pPr>
      <w:r>
        <w:t>表1  商旅平台导入降本增效测算汇总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1809"/>
        <w:gridCol w:w="2978"/>
        <w:gridCol w:w="1898"/>
        <w:gridCol w:w="1704"/>
      </w:tblGrid>
      <w:tr w14:paraId="6254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19CB0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类别</w:t>
            </w:r>
          </w:p>
        </w:tc>
        <w:tc>
          <w:tcPr>
            <w:tcW w:w="960" w:type="pct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5D728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组成部分</w:t>
            </w:r>
          </w:p>
        </w:tc>
        <w:tc>
          <w:tcPr>
            <w:tcW w:w="1580" w:type="pct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137DF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测算口径</w:t>
            </w:r>
          </w:p>
        </w:tc>
        <w:tc>
          <w:tcPr>
            <w:tcW w:w="1007" w:type="pct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8E5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测算结果</w:t>
            </w:r>
          </w:p>
        </w:tc>
        <w:tc>
          <w:tcPr>
            <w:tcW w:w="904" w:type="pct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DC289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最终占比</w:t>
            </w:r>
          </w:p>
        </w:tc>
      </w:tr>
      <w:tr w14:paraId="4493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E377A">
            <w:pPr>
              <w:spacing w:after="0" w:line="276" w:lineRule="auto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降本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单项说明</w:t>
            </w: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32906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住宿协议价优惠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E68C1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实报实销住宿基数 49676.58 元，按 10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  <w:r>
              <w:rPr>
                <w:rFonts w:ascii="仿宋_GB2312" w:hAnsi="仿宋_GB2312" w:eastAsia="仿宋_GB2312"/>
                <w:b w:val="0"/>
                <w:sz w:val="19"/>
              </w:rPr>
              <w:t xml:space="preserve"> 平均优惠测算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FCA97">
            <w:pPr>
              <w:spacing w:after="0" w:line="276" w:lineRule="auto"/>
              <w:jc w:val="center"/>
            </w:pPr>
            <w:r>
              <w:rPr>
                <w:rFonts w:hint="eastAsia"/>
                <w:b w:val="0"/>
                <w:sz w:val="19"/>
                <w:lang w:eastAsia="zh-CN"/>
              </w:rPr>
              <w:t>＋</w:t>
            </w:r>
            <w:r>
              <w:rPr>
                <w:rFonts w:ascii="仿宋_GB2312" w:hAnsi="仿宋_GB2312" w:eastAsia="仿宋_GB2312"/>
                <w:b w:val="0"/>
                <w:sz w:val="19"/>
              </w:rPr>
              <w:t>4967.66 元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E2780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占净节省 116.39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35B7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CCE53">
            <w:pPr>
              <w:spacing w:after="0" w:line="276" w:lineRule="auto"/>
              <w:jc w:val="center"/>
            </w:pP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12AFE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票务服务费净增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5D4FA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平台票务服务费 1343.00 元，扣减现有机票手续费 540.00 元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F4E2A">
            <w:pPr>
              <w:spacing w:after="0" w:line="276" w:lineRule="auto"/>
              <w:jc w:val="center"/>
            </w:pPr>
            <w:r>
              <w:rPr>
                <w:rFonts w:hint="eastAsia"/>
                <w:b w:val="0"/>
                <w:sz w:val="19"/>
                <w:lang w:eastAsia="zh-CN"/>
              </w:rPr>
              <w:t>－</w:t>
            </w:r>
            <w:r>
              <w:rPr>
                <w:rFonts w:ascii="仿宋_GB2312" w:hAnsi="仿宋_GB2312" w:eastAsia="仿宋_GB2312"/>
                <w:b w:val="0"/>
                <w:sz w:val="19"/>
              </w:rPr>
              <w:t>803.00 元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D361E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 xml:space="preserve">占净节省 </w:t>
            </w:r>
            <w:r>
              <w:rPr>
                <w:rFonts w:hint="eastAsia"/>
                <w:b w:val="0"/>
                <w:sz w:val="19"/>
                <w:lang w:eastAsia="zh-CN"/>
              </w:rPr>
              <w:t>－</w:t>
            </w:r>
            <w:r>
              <w:rPr>
                <w:rFonts w:ascii="仿宋_GB2312" w:hAnsi="仿宋_GB2312" w:eastAsia="仿宋_GB2312"/>
                <w:b w:val="0"/>
                <w:sz w:val="19"/>
              </w:rPr>
              <w:t>18.81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24F2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B6ADC">
            <w:pPr>
              <w:spacing w:after="0" w:line="276" w:lineRule="auto"/>
              <w:jc w:val="center"/>
            </w:pP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9E27D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账期资金收益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6B91C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2 个月账期，平均留存资金 34428.39 元，按 0.30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  <w:r>
              <w:rPr>
                <w:rFonts w:ascii="仿宋_GB2312" w:hAnsi="仿宋_GB2312" w:eastAsia="仿宋_GB2312"/>
                <w:b w:val="0"/>
                <w:sz w:val="19"/>
              </w:rPr>
              <w:t xml:space="preserve"> 年利率测算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72E11">
            <w:pPr>
              <w:spacing w:after="0" w:line="276" w:lineRule="auto"/>
              <w:jc w:val="center"/>
            </w:pPr>
            <w:r>
              <w:rPr>
                <w:rFonts w:hint="eastAsia"/>
                <w:b w:val="0"/>
                <w:sz w:val="19"/>
                <w:lang w:eastAsia="zh-CN"/>
              </w:rPr>
              <w:t>＋</w:t>
            </w:r>
            <w:r>
              <w:rPr>
                <w:rFonts w:ascii="仿宋_GB2312" w:hAnsi="仿宋_GB2312" w:eastAsia="仿宋_GB2312"/>
                <w:b w:val="0"/>
                <w:sz w:val="19"/>
              </w:rPr>
              <w:t>103.29 元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5C944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占净节省 2.42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6BE51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317A1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降本</w:t>
            </w:r>
            <w:r>
              <w:rPr>
                <w:rFonts w:hint="eastAsia"/>
                <w:b/>
                <w:sz w:val="19"/>
                <w:lang w:val="en-US" w:eastAsia="zh-CN"/>
              </w:rPr>
              <w:t>合</w:t>
            </w:r>
            <w:r>
              <w:rPr>
                <w:rFonts w:ascii="仿宋_GB2312" w:hAnsi="仿宋_GB2312" w:eastAsia="仿宋_GB2312"/>
                <w:b/>
                <w:sz w:val="19"/>
              </w:rPr>
              <w:t>计</w:t>
            </w:r>
          </w:p>
        </w:tc>
        <w:tc>
          <w:tcPr>
            <w:tcW w:w="960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56F83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年度直接净节省</w:t>
            </w:r>
          </w:p>
        </w:tc>
        <w:tc>
          <w:tcPr>
            <w:tcW w:w="1580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C442F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 xml:space="preserve">住宿优惠 </w:t>
            </w:r>
            <w:r>
              <w:rPr>
                <w:rFonts w:hint="eastAsia"/>
                <w:b/>
                <w:sz w:val="19"/>
                <w:lang w:eastAsia="zh-CN"/>
              </w:rPr>
              <w:t>－</w:t>
            </w:r>
            <w:r>
              <w:rPr>
                <w:rFonts w:ascii="仿宋_GB2312" w:hAnsi="仿宋_GB2312" w:eastAsia="仿宋_GB2312"/>
                <w:b/>
                <w:sz w:val="19"/>
              </w:rPr>
              <w:t xml:space="preserve"> 票务净增 </w:t>
            </w:r>
            <w:r>
              <w:rPr>
                <w:rFonts w:hint="eastAsia"/>
                <w:b/>
                <w:sz w:val="19"/>
                <w:lang w:eastAsia="zh-CN"/>
              </w:rPr>
              <w:t>＋</w:t>
            </w:r>
            <w:r>
              <w:rPr>
                <w:rFonts w:ascii="仿宋_GB2312" w:hAnsi="仿宋_GB2312" w:eastAsia="仿宋_GB2312"/>
                <w:b/>
                <w:sz w:val="19"/>
              </w:rPr>
              <w:t xml:space="preserve"> 账期利息</w:t>
            </w:r>
          </w:p>
        </w:tc>
        <w:tc>
          <w:tcPr>
            <w:tcW w:w="1007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82072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4267.95 元</w:t>
            </w:r>
          </w:p>
        </w:tc>
        <w:tc>
          <w:tcPr>
            <w:tcW w:w="904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4FB30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/>
                <w:sz w:val="19"/>
              </w:rPr>
              <w:t>占样本付款总额 2.07</w:t>
            </w:r>
            <w:r>
              <w:rPr>
                <w:rFonts w:hint="eastAsia"/>
                <w:b/>
                <w:sz w:val="19"/>
                <w:lang w:eastAsia="zh-CN"/>
              </w:rPr>
              <w:t>％</w:t>
            </w:r>
          </w:p>
        </w:tc>
      </w:tr>
      <w:tr w14:paraId="3E6B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C88E6">
            <w:pPr>
              <w:spacing w:after="0" w:line="276" w:lineRule="auto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增效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单项说明</w:t>
            </w: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DD2F1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订票订房及比价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E6167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90 单，每单由 20 分钟压缩至 8 分钟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8940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 1080 分钟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126CE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15.54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7F93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98CC7">
            <w:pPr>
              <w:spacing w:after="0" w:line="276" w:lineRule="auto"/>
              <w:jc w:val="center"/>
            </w:pP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C52F0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发票获取及报销材料整理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0C357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90 单，每单由 60 分钟压缩至 3 分钟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EC84D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 5130 分钟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A70AD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73.83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406A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4AF7">
            <w:pPr>
              <w:spacing w:after="0" w:line="276" w:lineRule="auto"/>
              <w:jc w:val="center"/>
            </w:pP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A62D0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财务审核及对账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9BB96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90 单，每单由 8 分钟压缩至 3 分钟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CACA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 450 分钟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6FB79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6.48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0A37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BCA75">
            <w:pPr>
              <w:spacing w:after="0" w:line="276" w:lineRule="auto"/>
              <w:jc w:val="center"/>
            </w:pPr>
          </w:p>
        </w:tc>
        <w:tc>
          <w:tcPr>
            <w:tcW w:w="96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7B50D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退改处理</w:t>
            </w:r>
          </w:p>
        </w:tc>
        <w:tc>
          <w:tcPr>
            <w:tcW w:w="1580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C87A3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按 193 个交通票段的 15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  <w:r>
              <w:rPr>
                <w:rFonts w:ascii="仿宋_GB2312" w:hAnsi="仿宋_GB2312" w:eastAsia="仿宋_GB2312"/>
                <w:b w:val="0"/>
                <w:sz w:val="19"/>
              </w:rPr>
              <w:t xml:space="preserve"> 发生退改，每次由 15 分钟压缩至 5 分钟</w:t>
            </w:r>
          </w:p>
        </w:tc>
        <w:tc>
          <w:tcPr>
            <w:tcW w:w="100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C2866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节省约 289 分钟</w:t>
            </w:r>
          </w:p>
        </w:tc>
        <w:tc>
          <w:tcPr>
            <w:tcW w:w="90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C3B51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4.16</w:t>
            </w:r>
            <w:r>
              <w:rPr>
                <w:rFonts w:hint="eastAsia"/>
                <w:b w:val="0"/>
                <w:sz w:val="19"/>
                <w:lang w:eastAsia="zh-CN"/>
              </w:rPr>
              <w:t>％</w:t>
            </w:r>
          </w:p>
        </w:tc>
      </w:tr>
      <w:tr w14:paraId="33F7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9472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增效</w:t>
            </w:r>
            <w:r>
              <w:rPr>
                <w:rFonts w:hint="eastAsia"/>
                <w:b/>
                <w:sz w:val="19"/>
                <w:lang w:val="en-US" w:eastAsia="zh-CN"/>
              </w:rPr>
              <w:t>合</w:t>
            </w:r>
            <w:r>
              <w:rPr>
                <w:rFonts w:ascii="仿宋_GB2312" w:hAnsi="仿宋_GB2312" w:eastAsia="仿宋_GB2312"/>
                <w:b/>
                <w:sz w:val="19"/>
              </w:rPr>
              <w:t>计</w:t>
            </w:r>
          </w:p>
        </w:tc>
        <w:tc>
          <w:tcPr>
            <w:tcW w:w="960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45EAA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年度事务性工时释放</w:t>
            </w:r>
          </w:p>
        </w:tc>
        <w:tc>
          <w:tcPr>
            <w:tcW w:w="1580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C4207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现行约 8354 分钟，平台化后约 1405 分钟</w:t>
            </w:r>
          </w:p>
        </w:tc>
        <w:tc>
          <w:tcPr>
            <w:tcW w:w="1007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C81BC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节省约 6949 分钟（约 116 小时）</w:t>
            </w:r>
          </w:p>
        </w:tc>
        <w:tc>
          <w:tcPr>
            <w:tcW w:w="904" w:type="pct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BE8B4">
            <w:pPr>
              <w:spacing w:after="0" w:line="276" w:lineRule="auto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ascii="仿宋_GB2312" w:hAnsi="仿宋_GB2312" w:eastAsia="仿宋_GB2312"/>
                <w:b/>
                <w:sz w:val="19"/>
              </w:rPr>
              <w:t>整体耗时下降 83.2</w:t>
            </w:r>
            <w:r>
              <w:rPr>
                <w:rFonts w:hint="eastAsia"/>
                <w:b/>
                <w:sz w:val="19"/>
                <w:lang w:eastAsia="zh-CN"/>
              </w:rPr>
              <w:t>％</w:t>
            </w:r>
          </w:p>
        </w:tc>
      </w:tr>
    </w:tbl>
    <w:p w14:paraId="57C79FF1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从落地方式看，可先选择出差频次较高、线路相对集中的部门开展试运行，将现有差旅标准、酒店限额、审批权限、发票规则和月结周期一次性配置到平台，并保留必要的人工兜底通道。试运行期间重点观察酒店实际折扣率、退改响应时效、发票准确率、员工使用便利性和月度对账差异，形成 2 至 3 个结算周期的数据闭环后再扩大范围。这样既能避免一次性切换带来的适应成本，也能用真实运营数据校验供应商服务能力和平台降本效果。</w:t>
      </w:r>
    </w:p>
    <w:p w14:paraId="5FF1906A">
      <w:pPr>
        <w:pStyle w:val="19"/>
        <w:widowControl/>
        <w:rPr>
          <w:rFonts w:ascii="Times New Roman" w:hAnsi="Times New Roman" w:eastAsia="仿宋_GB2312" w:cs="仿宋_GB2312"/>
          <w:b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因此，建议公司在不预设单一合作公司的前提下，按照“资源价格、系统适配、服务响应、账期条件、数据安全、管理报表”等维度开展商旅平台比选，优先选择能够提供酒店协议托管、机票火车票在线退改、对公月结、数电发票、差标管控和管理驾驶舱的平台。以现有样本规模测算，导入平台后直接现金收益已经能够覆盖票务服务费并形成净节约；</w:t>
      </w:r>
      <w:r>
        <w:rPr>
          <w:rFonts w:ascii="Times New Roman" w:hAnsi="Times New Roman" w:eastAsia="仿宋_GB2312" w:cs="仿宋_GB2312"/>
          <w:b/>
          <w:sz w:val="32"/>
          <w:szCs w:val="32"/>
        </w:rPr>
        <w:t>随着出差规模扩大、协议酒店沉淀和差旅政策刚性执行，降本效果会进一步放大，同时可显著减轻员工和财务部门事务性工作量，提升集团差旅管理的规范性、透明度和运营效率。</w:t>
      </w:r>
    </w:p>
    <w:p w14:paraId="2F053D00">
      <w:pPr>
        <w:pStyle w:val="19"/>
        <w:widowControl/>
        <w:rPr>
          <w:rFonts w:ascii="Times New Roman" w:hAnsi="Times New Roman" w:eastAsia="仿宋_GB2312" w:cs="仿宋_GB2312"/>
          <w:b w:val="0"/>
          <w:sz w:val="32"/>
          <w:szCs w:val="32"/>
        </w:rPr>
      </w:pPr>
      <w:r>
        <w:rPr>
          <w:rFonts w:ascii="Times New Roman" w:hAnsi="Times New Roman" w:eastAsia="仿宋_GB2312" w:cs="仿宋_GB2312"/>
          <w:b w:val="0"/>
          <w:sz w:val="32"/>
          <w:szCs w:val="32"/>
        </w:rPr>
        <w:t>汇报单位：内蒙古数构工业互联网科技有限公司</w:t>
      </w:r>
      <w:r>
        <w:rPr>
          <w:rFonts w:ascii="Times New Roman" w:hAnsi="Times New Roman" w:eastAsia="仿宋_GB2312" w:cs="仿宋_GB2312"/>
          <w:b w:val="0"/>
          <w:sz w:val="32"/>
          <w:szCs w:val="32"/>
        </w:rPr>
        <w:br w:type="textWrapping"/>
      </w:r>
      <w:r>
        <w:rPr>
          <w:rFonts w:ascii="Times New Roman" w:hAnsi="Times New Roman" w:eastAsia="仿宋_GB2312" w:cs="仿宋_GB2312"/>
          <w:b w:val="0"/>
          <w:sz w:val="32"/>
          <w:szCs w:val="32"/>
        </w:rPr>
        <w:t>2026 年 4 月 27 日</w:t>
      </w:r>
    </w:p>
    <w:p w14:paraId="79CF0C95">
      <w:pPr>
        <w:pStyle w:val="19"/>
        <w:bidi w:val="0"/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2098" w:right="1474" w:bottom="1984" w:left="1587" w:header="851" w:footer="1417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BFDA8B98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D7ED"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5F4937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BVtgQK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0B5F4937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  <w:r>
      <w:rPr>
        <w:vanish/>
        <w:color w:val="FFFFFF"/>
        <w:sz w:val="2"/>
      </w:rPr>
      <w:t>WM|作者:高稼和|部门:内蒙古数构工业互联网科技有限公司|日期:2026-04-27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07627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960207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AalSs7WAAAABgEAAA8AAAAAAAAAAQAgAAAAIgAAAGRycy9kb3ducmV2&#10;LnhtbFBLAQIUABQAAAAIAIdO4kA37onp4gIAAC4GAAAOAAAAAAAAAAEAIAAAACUBAABkcnMvZTJv&#10;RG9jLnhtbFBLBQYAAAAABgAGAFkBAAB5Bg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57960207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5DBEE">
    <w:pPr>
      <w:pStyle w:val="2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DC4F4">
    <w:pPr>
      <w:pStyle w:val="2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A1BDD"/>
    <w:rsid w:val="06DD5FDF"/>
    <w:rsid w:val="09C556F2"/>
    <w:rsid w:val="116D7D3E"/>
    <w:rsid w:val="15254C28"/>
    <w:rsid w:val="18A92683"/>
    <w:rsid w:val="18F142B2"/>
    <w:rsid w:val="198C1D89"/>
    <w:rsid w:val="1B0E67CD"/>
    <w:rsid w:val="1D344EA2"/>
    <w:rsid w:val="218548A1"/>
    <w:rsid w:val="26653EED"/>
    <w:rsid w:val="2D2500D2"/>
    <w:rsid w:val="2FF65D56"/>
    <w:rsid w:val="3CF623B7"/>
    <w:rsid w:val="3EC84D62"/>
    <w:rsid w:val="448509DB"/>
    <w:rsid w:val="48711FC6"/>
    <w:rsid w:val="48FF3A76"/>
    <w:rsid w:val="50862F4F"/>
    <w:rsid w:val="54694499"/>
    <w:rsid w:val="5A3963FC"/>
    <w:rsid w:val="5B503CBD"/>
    <w:rsid w:val="663E67A5"/>
    <w:rsid w:val="73DC213A"/>
    <w:rsid w:val="74626AE3"/>
    <w:rsid w:val="76806E42"/>
    <w:rsid w:val="7A5C3FD5"/>
    <w:rsid w:val="7BCC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officialmode val="1"/>
    </mc:Choice>
  </mc:AlternateContent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24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4">
    <w:name w:val="heading 2"/>
    <w:next w:val="1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5">
    <w:name w:val="heading 3"/>
    <w:next w:val="1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4"/>
    <w:next w:val="1"/>
    <w:semiHidden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5"/>
    <w:next w:val="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6"/>
    <w:next w:val="1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7"/>
    <w:next w:val="1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8"/>
    <w:next w:val="1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1">
    <w:name w:val="heading 9"/>
    <w:next w:val="1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link w:val="31"/>
    <w:qFormat/>
    <w:uiPriority w:val="10"/>
    <w:rPr>
      <w:rFonts w:ascii="Courier" w:hAnsi="Courier" w:eastAsia="Courier" w:cs="Courier"/>
      <w:sz w:val="44"/>
      <w:szCs w:val="44"/>
      <w:lang w:val="zh-CN"/>
    </w:rPr>
  </w:style>
  <w:style w:type="character" w:customStyle="1" w:styleId="142">
    <w:name w:val="Subtitle Char"/>
    <w:basedOn w:val="1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link w:val="19"/>
    <w:qFormat/>
    <w:uiPriority w:val="99"/>
    <w:rPr>
      <w:rFonts w:ascii="Times New Roman" w:hAnsi="Times New Roman" w:eastAsia="仿宋" w:cs="仿宋"/>
      <w:spacing w:val="-6"/>
      <w:sz w:val="32"/>
      <w:szCs w:val="32"/>
    </w:rPr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表格标题"/>
    <w:next w:val="1"/>
    <w:uiPriority w:val="0"/>
    <w:pPr>
      <w:overflowPunct w:val="0"/>
      <w:topLinePunct/>
      <w:spacing w:line="560" w:lineRule="exact"/>
      <w:jc w:val="center"/>
      <w:outlineLvl w:val="9"/>
    </w:pPr>
    <w:rPr>
      <w:rFonts w:ascii="Times New Roman" w:hAnsi="Times New Roman" w:eastAsia="仿宋_GB2312" w:cs="仿宋_GB2312"/>
      <w:spacing w:val="-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2145</Words>
  <Characters>2541</Characters>
  <Lines>0</Lines>
  <Paragraphs>0</Paragraphs>
  <TotalTime>80</TotalTime>
  <ScaleCrop>false</ScaleCrop>
  <LinksUpToDate>false</LinksUpToDate>
  <CharactersWithSpaces>2764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高稼和</dc:creator>
  <dc:description>Document watermark: WM|作者:高稼和|部门:内蒙古数构工业互联网科技有限公司|日期:2026-04-27</dc:description>
  <cp:keywords>商旅平台;差旅管理;隐形水印</cp:keywords>
  <cp:lastModifiedBy>吴丽丽</cp:lastModifiedBy>
  <dcterms:modified xsi:type="dcterms:W3CDTF">2026-04-29T03:21:24Z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eyJoZGlkIjoiZmZkOGUzZTIwNzYyMTkwZWRlZThlZmQwY2ZiN2EwYTMiLCJ1c2VySWQiOiI1MjQ5OTc0MDEifQ==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E690DE1B9F254F38A39539A571237433_13</vt:lpwstr>
  </property>
  <property fmtid="{D5CDD505-2E9C-101B-9397-08002B2CF9AE}" pid="5" name="WatermarkAuthor">
    <vt:lpwstr>高稼和</vt:lpwstr>
  </property>
  <property fmtid="{D5CDD505-2E9C-101B-9397-08002B2CF9AE}" pid="6" name="WatermarkDepartment">
    <vt:lpwstr>内蒙古数构工业互联网科技有限公司</vt:lpwstr>
  </property>
  <property fmtid="{D5CDD505-2E9C-101B-9397-08002B2CF9AE}" pid="7" name="WatermarkDate">
    <vt:lpwstr>2026-04-27</vt:lpwstr>
  </property>
  <property fmtid="{D5CDD505-2E9C-101B-9397-08002B2CF9AE}" pid="8" name="WatermarkId">
    <vt:lpwstr>WM|作者:高稼和|部门:内蒙古数构工业互联网科技有限公司|日期:2026-04-27</vt:lpwstr>
  </property>
</Properties>
</file>