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8AEC6">
      <w:pPr>
        <w:spacing w:after="200"/>
        <w:jc w:val="center"/>
      </w:pPr>
      <w:r>
        <w:rPr>
          <w:rFonts w:ascii="方正小标宋简体" w:hAnsi="方正小标宋简体" w:eastAsia="方正小标宋简体"/>
          <w:b/>
          <w:sz w:val="36"/>
        </w:rPr>
        <w:t>关于</w:t>
      </w:r>
      <w:r>
        <w:rPr>
          <w:rFonts w:hint="eastAsia" w:ascii="方正小标宋简体" w:hAnsi="方正小标宋简体" w:eastAsia="方正小标宋简体"/>
          <w:b/>
          <w:sz w:val="36"/>
          <w:lang w:val="en-US" w:eastAsia="zh-CN"/>
        </w:rPr>
        <w:t>云上一机接入</w:t>
      </w:r>
      <w:r>
        <w:rPr>
          <w:rFonts w:ascii="方正小标宋简体" w:hAnsi="方正小标宋简体" w:eastAsia="方正小标宋简体"/>
          <w:b/>
          <w:sz w:val="36"/>
        </w:rPr>
        <w:t>商旅平台提升差旅管理质效的汇报</w:t>
      </w:r>
    </w:p>
    <w:p w14:paraId="66946E18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根据现有内部数据，并结合商旅平台通用服务能力，对公司差旅管理导入统一商旅平台的经济性和管理效益进行了测算。现有</w:t>
      </w:r>
      <w:r>
        <w:rPr>
          <w:rFonts w:hint="eastAsia" w:ascii="仿宋_GB2312" w:hAnsi="仿宋_GB2312" w:eastAsia="仿宋_GB2312"/>
          <w:b w:val="0"/>
          <w:sz w:val="24"/>
          <w:lang w:val="en-US" w:eastAsia="zh-CN"/>
        </w:rPr>
        <w:t>内蒙古数构工业互联网科技有限公司2025年度差旅数据，</w:t>
      </w:r>
      <w:r>
        <w:rPr>
          <w:rFonts w:ascii="仿宋_GB2312" w:hAnsi="仿宋_GB2312" w:eastAsia="仿宋_GB2312"/>
          <w:b w:val="0"/>
          <w:sz w:val="24"/>
        </w:rPr>
        <w:t>样本覆盖 2024 年 12 月 19 日至 2025 年 12 月 28 日，共 90 单、18 名出差人员，基本接近一个完整年度。样本期付款金额合计 206570.31 元，其中交通费 66931.50 元、酒店花费 94332.78 元，酒店和交通两项占付款金额的 78.04%，是差旅降本最主要的抓手。</w:t>
      </w:r>
    </w:p>
    <w:p w14:paraId="18D7AAB1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从现行费用结构看，总经理、副总经理住宿为实报实销，科长、科员等其他人员执行包干制出差补贴。本次住宿降本可按两种情形测算：若不保留包干制补贴，并通过平台引导员工在补贴范围内选择协议酒店，则可按样本统计出的全部实际酒店花费 94332.78 元作为住宿价格优化基数；若保留包干制补贴、仅将实报实销住宿纳入平台统一结算，则按总经理酒店花费 24412.81 元、副总经理酒店花费 25263.77 元，合计 49676.58 元作为测算基数。结合商旅平台协议酒店价格情况，实际酒店折扣通常可达到约 20%，为体现稳健性，下文仍以 10% 平均优惠作为基准测算。</w:t>
      </w:r>
    </w:p>
    <w:p w14:paraId="2DB30B1D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按本次样本测算，机票经济舱 54 段、动车高铁及普通火车 139 段，如按商旅平台机票每段 12 元、火车票每段 5 元收取服务费计算，票务服务费约 1343.00 元。需要说明的是，现有机票供应商也会按每笔 10 元收取手续费，样本中 54 段机票对应现有手续费约 540.00 元；若以新增成本口径比较，导入平台后的票务服务费净增约 803.00 元。不保留包干制补贴情形下，按全部实际酒店花费 94332.78 元测算，酒店端只需取得约 0.85% 的平均折扣即可覆盖该净增费用；保留包干制补贴情形下，按总经理、副总经理实际酒店花费 49676.58 元测算，则只需约 1.62% 的平均折扣即可覆盖该净增费用。</w:t>
      </w:r>
    </w:p>
    <w:p w14:paraId="728AF307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账期利息测算口径为：样本期付款金额 206570.31 元，按全年 12 个月平均计算，月均差旅费用约 17214.19 元；若商旅平台给予 2 个月账期，则企业平均可留存资金约 34428.39 元。参照中国银行、建设银行 2025 年 5 月 20 日人民币存款挂牌利率，七天通知存款年利率为 0.30%，按“34428.39 元 × 0.30%”测算，年化利息约 103.29 元，实际收益以开户银行执行利率和资金安排为准。该项金额虽不大，但与酒店折扣和既有机票手续费替代合并计算后，可进一步提高平台导入后的净节省水平。</w:t>
      </w:r>
    </w:p>
    <w:p w14:paraId="047EB62E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按 10% 平均酒店优惠的稳健口径测算，若不保留包干制补贴，住宿端节省约 9433.28 元，扣除票务服务费净增额并加上账期利息后，年度直接净节省约 8733.57 元，占样本期付款总额 206570.31 元的 4.23%，占全部实际酒店花费 94332.78 元的 9.26%，占酒店与交通两项合计 161264.28 元的 5.42%；若</w:t>
      </w:r>
      <w:bookmarkStart w:id="0" w:name="_GoBack"/>
      <w:bookmarkEnd w:id="0"/>
      <w:r>
        <w:rPr>
          <w:rFonts w:ascii="仿宋_GB2312" w:hAnsi="仿宋_GB2312" w:eastAsia="仿宋_GB2312"/>
          <w:b w:val="0"/>
          <w:sz w:val="24"/>
        </w:rPr>
        <w:t>保留包干制补贴，仅按总经理、副总经理实报实销住宿测算，住宿端节省约 4967.66 元，年度直接净节省约 4267.95 元，占样本期付款总额的 2.07%，占总经理、副总经理实际酒店花费 49676.58 元的 8.59%，占酒店与交通两项合计的 2.65%。若按实际约 20% 酒店折扣测算，两种情形的节省空间还将进一步扩大。</w:t>
      </w:r>
    </w:p>
    <w:p w14:paraId="3F46858A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上述测算说明，商旅平台并不是简单增加</w:t>
      </w:r>
      <w:r>
        <w:rPr>
          <w:rFonts w:hint="eastAsia" w:ascii="仿宋_GB2312" w:hAnsi="仿宋_GB2312" w:eastAsia="仿宋_GB2312"/>
          <w:b w:val="0"/>
          <w:sz w:val="24"/>
          <w:lang w:val="en-US" w:eastAsia="zh-CN"/>
        </w:rPr>
        <w:t>机票及火车票</w:t>
      </w:r>
      <w:r>
        <w:rPr>
          <w:rFonts w:ascii="仿宋_GB2312" w:hAnsi="仿宋_GB2312" w:eastAsia="仿宋_GB2312"/>
          <w:b w:val="0"/>
          <w:sz w:val="24"/>
        </w:rPr>
        <w:t>订票服务费，而是以酒店资源折扣、集中议价、账期结算和在线管控共同抵消并超过服务费</w:t>
      </w:r>
      <w:r>
        <w:rPr>
          <w:rFonts w:hint="eastAsia" w:ascii="仿宋_GB2312" w:hAnsi="仿宋_GB2312" w:eastAsia="仿宋_GB2312"/>
          <w:b w:val="0"/>
          <w:sz w:val="24"/>
          <w:lang w:val="en-US" w:eastAsia="zh-CN"/>
        </w:rPr>
        <w:t>的额外成本</w:t>
      </w:r>
      <w:r>
        <w:rPr>
          <w:rFonts w:ascii="仿宋_GB2312" w:hAnsi="仿宋_GB2312" w:eastAsia="仿宋_GB2312"/>
          <w:b w:val="0"/>
          <w:sz w:val="24"/>
        </w:rPr>
        <w:t>。</w:t>
      </w:r>
    </w:p>
    <w:p w14:paraId="1145E7CE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在增效方面，现行流程主要消耗在员工自行比价订票订房、临时退改、发票获取、报销填报、财务审核和对账归档等环节。按样本 90 单、193 个可收费交通票段测算，人工模式下每单订票订房及比价约 20 分钟，平台化后可压缩至约 8 分钟，单项节省 12 分钟、降幅约 60%；发票获取和报销材料整理由约 60 分钟压缩至约 3 分钟，单项节省 57 分钟、降幅约 95%；财务审核对账由约 8 分钟压缩至约 3 分钟，单项节省 5 分钟、降幅约 62.5%；退改处理按 15% 交通票段发生退改测算，由每次约 15 分钟压缩至约 5 分钟，单次节省 10 分钟、降幅约 66.7%。据此测算，现行人工流程全年约需 8354 分钟，平台化后约需 1405 分钟，全年可节省约 6949 分钟，即约 116 小时，整体耗时下降约 83.2%，相当于释放约 14.5 个工作日的有效工时。</w:t>
      </w:r>
    </w:p>
    <w:p w14:paraId="57C79FF1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从落地方式看，可先选择出差频次较高、线路相对集中的部门开展试运行，将现有差旅标准、酒店限额、审批权限、发票规则和月结周期一次性配置到平台，并保留必要的人工兜底通道。试运行期间重点观察酒店实际折扣率、退改响应时效、发票准确率、员工使用便利性和月度对账差异，形成 2 至 3 个结算周期的数据闭环后再扩大范围。这样既能避免一次性切换带来的适应成本，也能用真实运营数据校验供应商服务能力和平台降本效果。</w:t>
      </w:r>
    </w:p>
    <w:p w14:paraId="5FF1906A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因此，建议公司在不预设单一合作公司的前提下，按照“资源价格、系统适配、服务响应、账期条件、数据安全、管理报表”等维度开展商旅平台比选，优先选择能够提供酒店协议托管、机票火车票在线退改、对公月结、数电发票、差标管控和管理驾驶舱的平台。以现有样本规模测算，导入平台后直接现金收益已经能够覆盖票务服务费并形成净节约；随着出差规模扩大、协议酒店沉淀和差旅政策刚性执行，降本效果会进一步放大，同时可显著减轻员工和财务部门事务性工作量，提升集团差旅管理的规范性、透明度和运营效率。</w:t>
      </w:r>
    </w:p>
    <w:p w14:paraId="2F053D00">
      <w:pPr>
        <w:spacing w:before="160" w:line="360" w:lineRule="exact"/>
        <w:jc w:val="right"/>
      </w:pPr>
      <w:r>
        <w:rPr>
          <w:rFonts w:ascii="仿宋_GB2312" w:hAnsi="仿宋_GB2312" w:eastAsia="仿宋_GB2312"/>
          <w:b w:val="0"/>
          <w:sz w:val="24"/>
        </w:rPr>
        <w:t>汇报单位：</w:t>
      </w:r>
      <w:r>
        <w:rPr>
          <w:rFonts w:hint="eastAsia"/>
          <w:b w:val="0"/>
          <w:sz w:val="24"/>
          <w:lang w:val="en-US" w:eastAsia="zh-CN"/>
        </w:rPr>
        <w:t>内蒙古数构工业互联网科技有限公司</w:t>
      </w:r>
      <w:r>
        <w:rPr>
          <w:rFonts w:ascii="仿宋_GB2312" w:hAnsi="仿宋_GB2312" w:eastAsia="仿宋_GB2312"/>
          <w:b w:val="0"/>
          <w:sz w:val="24"/>
        </w:rPr>
        <w:br w:type="textWrapping"/>
      </w:r>
      <w:r>
        <w:rPr>
          <w:rFonts w:ascii="仿宋_GB2312" w:hAnsi="仿宋_GB2312" w:eastAsia="仿宋_GB2312"/>
          <w:b w:val="0"/>
          <w:sz w:val="24"/>
        </w:rPr>
        <w:t>2026 年 4 月 27 日</w:t>
      </w:r>
    </w:p>
    <w:sectPr>
      <w:footerReference r:id="rId5" w:type="default"/>
      <w:pgSz w:w="12240" w:h="15840"/>
      <w:pgMar w:top="1134" w:right="1332" w:bottom="1020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5D7ED">
    <w:r>
      <w:rPr>
        <w:vanish/>
        <w:color w:val="FFFFFF"/>
        <w:sz w:val="2"/>
      </w:rPr>
      <w:t>WM|作者:高稼和|部门:内蒙古数构工业互联网科技有限公司|日期:2026-04-27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A1BDD"/>
    <w:rsid w:val="06DD5FDF"/>
    <w:rsid w:val="15254C28"/>
    <w:rsid w:val="18F142B2"/>
    <w:rsid w:val="218548A1"/>
    <w:rsid w:val="26653EED"/>
    <w:rsid w:val="3CF623B7"/>
    <w:rsid w:val="48711FC6"/>
    <w:rsid w:val="48FF3A76"/>
    <w:rsid w:val="50862F4F"/>
    <w:rsid w:val="5A3963FC"/>
    <w:rsid w:val="663E67A5"/>
    <w:rsid w:val="7680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1919</Words>
  <Characters>2211</Characters>
  <Lines>0</Lines>
  <Paragraphs>0</Paragraphs>
  <TotalTime>1</TotalTime>
  <ScaleCrop>false</ScaleCrop>
  <LinksUpToDate>false</LinksUpToDate>
  <CharactersWithSpaces>2371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高稼和</dc:creator>
  <dc:description>Document watermark: WM|作者:高稼和|部门:内蒙古数构工业互联网科技有限公司|日期:2026-04-27</dc:description>
  <cp:keywords>商旅平台;差旅管理;隐形水印</cp:keywords>
  <cp:lastModifiedBy>哈咯Leo</cp:lastModifiedBy>
  <dcterms:modified xsi:type="dcterms:W3CDTF">2026-04-27T09:13:09Z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eyJoZGlkIjoiODJlNWZmYjk0ODllZjY0Nzk1OTIxNWQ5M2IzOWMzOGEiLCJ1c2VySWQiOiI1MjYyMDYwNjIifQ==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FF1252028511439CB24E2CC0F372A504_12</vt:lpwstr>
  </property>
  <property fmtid="{D5CDD505-2E9C-101B-9397-08002B2CF9AE}" pid="5" name="WatermarkAuthor">
    <vt:lpwstr>高稼和</vt:lpwstr>
  </property>
  <property fmtid="{D5CDD505-2E9C-101B-9397-08002B2CF9AE}" pid="6" name="WatermarkDepartment">
    <vt:lpwstr>内蒙古数构工业互联网科技有限公司</vt:lpwstr>
  </property>
  <property fmtid="{D5CDD505-2E9C-101B-9397-08002B2CF9AE}" pid="7" name="WatermarkDate">
    <vt:lpwstr>2026-04-27</vt:lpwstr>
  </property>
  <property fmtid="{D5CDD505-2E9C-101B-9397-08002B2CF9AE}" pid="8" name="WatermarkId">
    <vt:lpwstr>WM|作者:高稼和|部门:内蒙古数构工业互联网科技有限公司|日期:2026-04-27</vt:lpwstr>
  </property>
</Properties>
</file>