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03616">
      <w:pPr>
        <w:pStyle w:val="2"/>
        <w:widowControl/>
      </w:pPr>
      <mc:AlternateContent>
        <mc:Choice Requires="wpsCustomData">
          <wpsCustomData:docfieldStart id="0" docfieldname="标题_1" hidden="0" print="1" readonly="0" index="1"/>
        </mc:Choice>
      </mc:AlternateContent>
      <w:r>
        <w:t>关于云上一机接入统一商旅平台 提升差旅管理质效的提案</w:t>
      </w:r>
      <mc:AlternateContent>
        <mc:Choice Requires="wpsCustomData">
          <wpsCustomData:docfieldEnd id="0"/>
        </mc:Choice>
      </mc:AlternateContent>
    </w:p>
    <w:p w14:paraId="0FFA2FE4">
      <w:pPr>
        <w:pStyle w:val="11"/>
        <w:bidi w:val="0"/>
        <w:spacing w:beforeAutospacing="0" w:afterAutospacing="0" w:line="300" w:lineRule="exact"/>
      </w:pPr>
    </w:p>
    <w:p w14:paraId="250A732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为规范公司差旅管控、压缩运营成本、释放人力效能、强化费用精细化管理，结合公司 2024 年 12 月 —2025 年 12 月完整年度差旅实际数据，现就接入云上一机商旅平台、推行差旅集中化管理事宜，提请会议审议，具体情况如下：</w:t>
      </w:r>
    </w:p>
    <w:p w14:paraId="280A3BC8">
      <w:pPr>
        <w:pStyle w:val="2"/>
        <w:widowControl/>
        <w:numPr>
          <w:numId w:val="0"/>
        </w:numPr>
        <w:topLinePunct w:val="0"/>
        <w:ind w:left="0" w:leftChars="0" w:firstLine="640"/>
        <w:rPr>
          <w:b w:val="0"/>
          <w:bdr w:val="none" w:sz="0" w:space="0"/>
        </w:rPr>
      </w:pPr>
      <w:r>
        <w:rPr>
          <w:rFonts w:hint="eastAsia"/>
          <w:lang w:eastAsia="zh-CN"/>
        </w:rPr>
        <w:t>一、</w:t>
      </w:r>
      <w:r>
        <w:t>基础数据概况</w:t>
      </w:r>
    </w:p>
    <w:p w14:paraId="047C607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本次测算覆盖全年 90 笔差旅、18 名出差人员，年度差旅总支出 20.66 万元，交通、酒店费用合计占比 78.07％，是差旅降本核心抓手。现行差旅政策中，中层及以下人员实行出差补贴包干，班子领导住宿实报实销，本次测算不调整现有包干政策，仅针对领导住宿及交通票务开展优化核算。</w:t>
      </w:r>
    </w:p>
    <w:p w14:paraId="7A88BA14">
      <w:pPr>
        <w:pStyle w:val="2"/>
        <w:widowControl/>
        <w:numPr>
          <w:numId w:val="0"/>
        </w:numPr>
        <w:topLinePunct w:val="0"/>
        <w:ind w:left="0" w:leftChars="0" w:firstLine="640"/>
        <w:rPr>
          <w:b w:val="0"/>
          <w:bdr w:val="none" w:sz="0" w:space="0"/>
        </w:rPr>
      </w:pPr>
      <w:r>
        <w:rPr>
          <w:rFonts w:hint="eastAsia"/>
          <w:lang w:eastAsia="zh-CN"/>
        </w:rPr>
        <w:t>二、</w:t>
      </w:r>
      <w:r>
        <w:t>降本成效显著，综合收益可控</w:t>
      </w:r>
    </w:p>
    <w:p w14:paraId="2BB0E9E9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616"/>
        <w:rPr>
          <w:rFonts w:ascii="Times New Roman" w:hAnsi="Times New Roman" w:eastAsia="仿宋_GB2312" w:cs="仿宋_GB2312"/>
          <w:b w:val="0"/>
          <w:color w:val="auto"/>
          <w:sz w:val="32"/>
          <w:szCs w:val="32"/>
          <w:bdr w:val="none" w:sz="0" w:space="0"/>
        </w:rPr>
      </w:pPr>
      <w:r>
        <w:rPr>
          <w:rStyle w:val="21"/>
          <w:rFonts w:hint="eastAsia" w:eastAsia="楷体_GB2312"/>
          <w:lang w:eastAsia="zh-CN"/>
        </w:rPr>
        <w:t>（一）</w:t>
      </w:r>
      <w:r>
        <w:rPr>
          <w:rStyle w:val="21"/>
        </w:rPr>
        <w:t>住宿费用精准压降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：以班子领导实报实销住宿费用 4.97 万元为基数，按商旅平台保守 10％ 协议折扣测算，年度可节约住宿费 4967.66 元；平台实际酒店折扣可达 20％，降本空间可翻倍。</w:t>
      </w:r>
    </w:p>
    <w:p w14:paraId="41298CA2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616"/>
        <w:rPr>
          <w:rFonts w:ascii="Times New Roman" w:hAnsi="Times New Roman" w:eastAsia="仿宋_GB2312" w:cs="仿宋_GB2312"/>
          <w:b w:val="0"/>
          <w:color w:val="auto"/>
          <w:sz w:val="32"/>
          <w:szCs w:val="32"/>
          <w:bdr w:val="none" w:sz="0" w:space="0"/>
        </w:rPr>
      </w:pPr>
      <w:r>
        <w:rPr>
          <w:rStyle w:val="21"/>
          <w:rFonts w:hint="eastAsia" w:eastAsia="楷体_GB2312"/>
          <w:lang w:eastAsia="zh-CN"/>
        </w:rPr>
        <w:t>（二）</w:t>
      </w:r>
      <w:r>
        <w:rPr>
          <w:rStyle w:val="21"/>
        </w:rPr>
        <w:t>新增成本增量有限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：平台票务服务费较原有订票手续费年度净增加 803 元，仅需酒店小幅折扣即可完全覆盖。</w:t>
      </w:r>
    </w:p>
    <w:p w14:paraId="6096822A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616"/>
        <w:rPr>
          <w:rFonts w:ascii="Times New Roman" w:hAnsi="Times New Roman" w:eastAsia="仿宋_GB2312" w:cs="仿宋_GB2312"/>
          <w:b w:val="0"/>
          <w:color w:val="auto"/>
          <w:sz w:val="32"/>
          <w:szCs w:val="32"/>
          <w:bdr w:val="none" w:sz="0" w:space="0"/>
        </w:rPr>
      </w:pPr>
      <w:r>
        <w:rPr>
          <w:rStyle w:val="21"/>
          <w:rFonts w:hint="eastAsia" w:eastAsia="楷体_GB2312"/>
          <w:lang w:eastAsia="zh-CN"/>
        </w:rPr>
        <w:t>（三）</w:t>
      </w:r>
      <w:r>
        <w:rPr>
          <w:rStyle w:val="21"/>
        </w:rPr>
        <w:t>资金账期增值赋能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：依托平台 2 个月对公月结账期，可沉淀留存流动资金，叠加存款利息收益，进一步增厚节约额度。</w:t>
      </w:r>
    </w:p>
    <w:p w14:paraId="6CDACD52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opLinePunct w:val="0"/>
        <w:ind w:left="0" w:leftChars="0" w:firstLine="616"/>
        <w:rPr>
          <w:rFonts w:ascii="Times New Roman" w:hAnsi="Times New Roman" w:eastAsia="仿宋_GB2312" w:cs="仿宋_GB2312"/>
          <w:b w:val="0"/>
          <w:color w:val="auto"/>
          <w:sz w:val="32"/>
          <w:szCs w:val="32"/>
          <w:bdr w:val="none" w:sz="0" w:space="0"/>
        </w:rPr>
      </w:pPr>
      <w:r>
        <w:rPr>
          <w:rStyle w:val="21"/>
          <w:rFonts w:hint="eastAsia" w:eastAsia="楷体_GB2312"/>
          <w:lang w:eastAsia="zh-CN"/>
        </w:rPr>
        <w:t>（四）</w:t>
      </w:r>
      <w:r>
        <w:rPr>
          <w:rStyle w:val="21"/>
        </w:rPr>
        <w:t>整体节约成果明确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：综合测算，保守口径下年度差旅</w:t>
      </w:r>
      <w:r>
        <w:rPr>
          <w:rStyle w:val="19"/>
          <w:rFonts w:ascii="Times New Roman" w:hAnsi="Times New Roman" w:eastAsia="仿宋_GB2312" w:cs="仿宋_GB2312"/>
          <w:b/>
          <w:color w:val="000000"/>
          <w:sz w:val="32"/>
          <w:szCs w:val="32"/>
          <w:bdr w:val="none" w:color="auto" w:sz="0" w:space="0"/>
        </w:rPr>
        <w:t>净节省 4267.95 元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，占差旅总支出 2.07％；按实际 20％ 酒店折扣测算，年度净节约可达 9235.61 元，费用管控成效突出。</w:t>
      </w:r>
    </w:p>
    <w:p w14:paraId="5D7329A7">
      <w:pPr>
        <w:pStyle w:val="2"/>
        <w:widowControl/>
        <w:numPr>
          <w:numId w:val="0"/>
        </w:numPr>
        <w:topLinePunct w:val="0"/>
        <w:ind w:left="0" w:leftChars="0" w:firstLine="640"/>
        <w:rPr>
          <w:b w:val="0"/>
          <w:bdr w:val="none" w:sz="0" w:space="0"/>
        </w:rPr>
      </w:pPr>
      <w:r>
        <w:rPr>
          <w:rFonts w:hint="eastAsia"/>
          <w:lang w:eastAsia="zh-CN"/>
        </w:rPr>
        <w:t>三、</w:t>
      </w:r>
      <w:r>
        <w:t>流程全面提效，释放人力价值</w:t>
      </w:r>
    </w:p>
    <w:p w14:paraId="28AD4E9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引入商旅平台可全链条精简差旅全流程，彻底解决员工自主比价、繁琐报销、财务对账压力：</w:t>
      </w:r>
    </w:p>
    <w:p w14:paraId="06840064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订票比价、发票整理、财务审核、行程退改等环节效率大幅提升，各流程耗时降幅 60％－95％；</w:t>
      </w:r>
    </w:p>
    <w:p w14:paraId="0CE30A53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全年可减少事务性工作时长 6949 分钟，折合 116 小时、14.5 个工作日，整体办事效率下降 83.2％，有效解放业务及财务人力，聚焦核心工作。</w:t>
      </w:r>
    </w:p>
    <w:p w14:paraId="3D757350">
      <w:pPr>
        <w:pStyle w:val="2"/>
        <w:widowControl/>
        <w:numPr>
          <w:numId w:val="0"/>
        </w:numPr>
        <w:topLinePunct w:val="0"/>
        <w:ind w:left="0" w:leftChars="0" w:firstLine="640"/>
        <w:rPr>
          <w:b w:val="0"/>
          <w:bdr w:val="none" w:sz="0" w:space="0"/>
        </w:rPr>
      </w:pPr>
      <w:r>
        <w:rPr>
          <w:rFonts w:hint="eastAsia"/>
          <w:lang w:eastAsia="zh-CN"/>
        </w:rPr>
        <w:t>四、</w:t>
      </w:r>
      <w:r>
        <w:t>稳妥落地路径，降低切换风险</w:t>
      </w:r>
    </w:p>
    <w:p w14:paraId="52D77F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建议采取</w:t>
      </w:r>
      <w:r>
        <w:rPr>
          <w:rStyle w:val="19"/>
          <w:rFonts w:ascii="Times New Roman" w:hAnsi="Times New Roman" w:eastAsia="仿宋_GB2312" w:cs="仿宋_GB2312"/>
          <w:b/>
          <w:color w:val="000000"/>
          <w:sz w:val="32"/>
          <w:szCs w:val="32"/>
          <w:bdr w:val="none" w:color="auto" w:sz="0" w:space="0"/>
        </w:rPr>
        <w:t>试点先行、分步推广</w:t>
      </w: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模式：优先选取出差频次高的部门试运行，统一配置差旅标准、审批权限、月结规则，保留人工兜底通道；通过 2－3 个结算周期校验平台折扣、开票质量、服务响应等核心指标，验证成效后全域推广，平稳实现管理模式过渡。</w:t>
      </w:r>
    </w:p>
    <w:p w14:paraId="5C3E012C">
      <w:pPr>
        <w:pStyle w:val="2"/>
        <w:widowControl/>
        <w:numPr>
          <w:numId w:val="0"/>
        </w:numPr>
        <w:topLinePunct w:val="0"/>
        <w:ind w:left="0" w:leftChars="0" w:firstLine="640"/>
        <w:rPr>
          <w:b w:val="0"/>
          <w:bdr w:val="none" w:sz="0" w:space="0"/>
        </w:rPr>
      </w:pPr>
      <w:r>
        <w:rPr>
          <w:rFonts w:hint="eastAsia"/>
          <w:lang w:eastAsia="zh-CN"/>
        </w:rPr>
        <w:t>五、</w:t>
      </w:r>
      <w:r>
        <w:t>工作建议</w:t>
      </w:r>
    </w:p>
    <w:p w14:paraId="32E74EF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一是启动商旅平台公开比选，围绕资源议价、系统适配、数据安全、月结账期、管控报表等关键维度择优合作；二是依托云上一机体系，打通线上审批、差标刚性管控、数电发票、统一对账等功能，实现差旅全流程线上化、透明化；三是常态化落实集中议价管理，随着业务规模扩大持续放大降本效应，全面规范差旅管理、严控非必要支出，助力企业提质增效。</w:t>
      </w:r>
    </w:p>
    <w:p w14:paraId="0898ABD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仿宋_GB2312" w:cs="仿宋_GB2312"/>
          <w:color w:val="000000"/>
          <w:sz w:val="32"/>
          <w:szCs w:val="32"/>
        </w:rPr>
      </w:pPr>
      <w:r>
        <w:rPr>
          <w:rFonts w:ascii="Times New Roman" w:hAnsi="Times New Roman" w:eastAsia="仿宋_GB2312" w:cs="仿宋_GB2312"/>
          <w:color w:val="000000"/>
          <w:sz w:val="32"/>
          <w:szCs w:val="32"/>
          <w:bdr w:val="none" w:color="auto" w:sz="0" w:space="0"/>
        </w:rPr>
        <w:t>提案单位：内蒙古数构工业互联网科技有限公司2026 年 4 月 27 日</w:t>
      </w:r>
    </w:p>
    <w:p w14:paraId="259269A0">
      <w:pPr>
        <w:pStyle w:val="20"/>
        <w:widowControl/>
        <w:jc w:val="left"/>
        <w:rPr>
          <w:rFonts w:hint="default" w:eastAsia="仿宋_GB2312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附表1：</w:t>
      </w:r>
    </w:p>
    <w:p w14:paraId="4BCAA371">
      <w:pPr>
        <w:pStyle w:val="20"/>
        <w:widowControl/>
        <w:rPr>
          <w:sz w:val="28"/>
          <w:szCs w:val="28"/>
        </w:rPr>
      </w:pPr>
      <w:r>
        <w:rPr>
          <w:sz w:val="28"/>
          <w:szCs w:val="28"/>
        </w:rPr>
        <w:t>表1  商旅平台导入降本增效测算汇总</w:t>
      </w:r>
    </w:p>
    <w:tbl>
      <w:tblPr>
        <w:tblStyle w:val="17"/>
        <w:tblW w:w="4997" w:type="pct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8"/>
        <w:gridCol w:w="3120"/>
        <w:gridCol w:w="1825"/>
        <w:gridCol w:w="1368"/>
      </w:tblGrid>
      <w:tr w14:paraId="625449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76" w:type="pct"/>
            <w:tcBorders>
              <w:tl2br w:val="nil"/>
              <w:tr2bl w:val="nil"/>
            </w:tcBorders>
            <w:shd w:val="clear" w:color="auto" w:fill="1F4E79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D319C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1F4E79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835D7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组成部分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shd w:val="clear" w:color="auto" w:fill="1F4E79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EA137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测算口径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shd w:val="clear" w:color="auto" w:fill="1F4E79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DE418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测算结果</w:t>
            </w:r>
          </w:p>
        </w:tc>
        <w:tc>
          <w:tcPr>
            <w:tcW w:w="755" w:type="pct"/>
            <w:tcBorders>
              <w:tl2br w:val="nil"/>
              <w:tr2bl w:val="nil"/>
            </w:tcBorders>
            <w:shd w:val="clear" w:color="auto" w:fill="1F4E79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7CDC2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最终占比</w:t>
            </w:r>
          </w:p>
        </w:tc>
      </w:tr>
      <w:tr w14:paraId="449345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restar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64E37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降本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val="en-US" w:eastAsia="zh-CN"/>
              </w:rPr>
              <w:t>单项说明</w:t>
            </w: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D5329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住宿协议价优惠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123E68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实报实销住宿基数 49676.58 元，按 10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 xml:space="preserve"> 平均优惠测算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6BFCA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＋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4967.66 元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0C2E278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占净节省 116.39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35B7D7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continue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CDCCE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7E812A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票务服务费净增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78D5D4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平台票务服务费 1343.00 元，扣减现有机票手续费 540.00 元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045F4E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－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803.00 元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186D361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 xml:space="preserve">占净节省 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－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18.81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24F222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continue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101B6A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D19E2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账期资金收益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E46B9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2 个月账期，平均留存资金 34428.39 元，按 0.30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 xml:space="preserve"> 年利率测算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2172E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＋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103.29 元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2D5C94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占净节省 2.42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6BE51B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1F317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降本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val="en-US" w:eastAsia="zh-CN"/>
              </w:rPr>
              <w:t>合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计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FE56F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年度直接净节省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75C44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 xml:space="preserve">住宿优惠 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  <w:t>－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 xml:space="preserve"> 票务净增 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  <w:t>＋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 xml:space="preserve"> 账期利息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D2820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4267.95 元</w:t>
            </w:r>
            <w:bookmarkStart w:id="0" w:name="_GoBack"/>
            <w:bookmarkEnd w:id="0"/>
          </w:p>
        </w:tc>
        <w:tc>
          <w:tcPr>
            <w:tcW w:w="755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07E4FB3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占样本付款总额 2.07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  <w:t>％</w:t>
            </w:r>
          </w:p>
        </w:tc>
      </w:tr>
      <w:tr w14:paraId="3E6B86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restar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032C88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增效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val="en-US" w:eastAsia="zh-CN"/>
              </w:rPr>
              <w:t>单项说明</w:t>
            </w: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2FDD2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订票订房及比价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B7E61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90 单，每单由 20 分钟压缩至 8 分钟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BD894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节省 1080 分钟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49126C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占节省工时 15.54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7F935C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continue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D698C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A7C52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发票获取及报销材料整理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4E0C3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90 单，每单由 60 分钟压缩至 3 分钟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08EC8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节省 5130 分钟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84A70A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占节省工时 73.83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406A15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continue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1244A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8CA62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财务审核及对账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C89BB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90 单，每单由 8 分钟压缩至 3 分钟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47CAC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节省 450 分钟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0766FB79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占节省工时 6.48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0A37FA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vMerge w:val="continue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4F2BCA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838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7997B5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退改处理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07C87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按 193 个交通票段的 15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 xml:space="preserve"> 发生退改，每次由 15 分钟压缩至 5 分钟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30AC28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节省约 289 分钟</w:t>
            </w:r>
          </w:p>
        </w:tc>
        <w:tc>
          <w:tcPr>
            <w:tcW w:w="755" w:type="pct"/>
            <w:tcBorders>
              <w:tl2br w:val="nil"/>
              <w:tr2bl w:val="nil"/>
            </w:tcBorders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73C3B5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占节省工时 4.16</w:t>
            </w:r>
            <w:r>
              <w:rPr>
                <w:rFonts w:hint="eastAsia" w:ascii="黑体" w:hAnsi="黑体" w:eastAsia="黑体" w:cs="黑体"/>
                <w:b w:val="0"/>
                <w:sz w:val="21"/>
                <w:szCs w:val="21"/>
                <w:lang w:eastAsia="zh-CN"/>
              </w:rPr>
              <w:t>％</w:t>
            </w:r>
          </w:p>
        </w:tc>
      </w:tr>
      <w:tr w14:paraId="33F782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6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5AC947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增效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val="en-US" w:eastAsia="zh-CN"/>
              </w:rPr>
              <w:t>合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计</w:t>
            </w:r>
          </w:p>
        </w:tc>
        <w:tc>
          <w:tcPr>
            <w:tcW w:w="838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7FE45E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年度事务性工时释放</w:t>
            </w:r>
          </w:p>
        </w:tc>
        <w:tc>
          <w:tcPr>
            <w:tcW w:w="1722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7A9C42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现行约 8354 分钟，平台化后约 1405 分钟</w:t>
            </w:r>
          </w:p>
        </w:tc>
        <w:tc>
          <w:tcPr>
            <w:tcW w:w="1007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229C81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节省约 6949 分钟（约 116 小时）</w:t>
            </w:r>
          </w:p>
        </w:tc>
        <w:tc>
          <w:tcPr>
            <w:tcW w:w="755" w:type="pct"/>
            <w:tcBorders>
              <w:tl2br w:val="nil"/>
              <w:tr2bl w:val="nil"/>
            </w:tcBorders>
            <w:shd w:val="clear" w:color="auto" w:fill="D9EAF7"/>
            <w:noWrap w:val="0"/>
            <w:tcMar>
              <w:top w:w="120" w:type="dxa"/>
              <w:left w:w="108" w:type="dxa"/>
              <w:bottom w:w="120" w:type="dxa"/>
              <w:right w:w="108" w:type="dxa"/>
            </w:tcMar>
            <w:vAlign w:val="center"/>
          </w:tcPr>
          <w:p w14:paraId="69CBE8B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整体耗时下降 83.2</w:t>
            </w:r>
            <w:r>
              <w:rPr>
                <w:rFonts w:hint="eastAsia" w:ascii="黑体" w:hAnsi="黑体" w:eastAsia="黑体" w:cs="黑体"/>
                <w:b/>
                <w:sz w:val="21"/>
                <w:szCs w:val="21"/>
                <w:lang w:eastAsia="zh-CN"/>
              </w:rPr>
              <w:t>％</w:t>
            </w:r>
          </w:p>
        </w:tc>
      </w:tr>
    </w:tbl>
    <w:p w14:paraId="0CAC53A1"/>
    <w:p w14:paraId="40775901">
      <w:pPr>
        <w:pStyle w:val="11"/>
        <w:bidi w:val="0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0540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3C418C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BVtgQK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63C418C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AC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427482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A37onp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56427482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EE483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98934">
    <w:pPr>
      <w:pStyle w:val="1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9928C"/>
    <w:multiLevelType w:val="multilevel"/>
    <w:tmpl w:val="31F99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52DF8"/>
    <w:rsid w:val="2B986BC5"/>
    <w:rsid w:val="2BA52DF8"/>
    <w:rsid w:val="5CF1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link w:val="2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table" w:styleId="17">
    <w:name w:val="Table Grid"/>
    <w:basedOn w:val="1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表格标题"/>
    <w:next w:val="1"/>
    <w:uiPriority w:val="0"/>
    <w:pPr>
      <w:overflowPunct w:val="0"/>
      <w:topLinePunct/>
      <w:spacing w:line="560" w:lineRule="exact"/>
      <w:jc w:val="center"/>
      <w:outlineLvl w:val="9"/>
    </w:pPr>
    <w:rPr>
      <w:rFonts w:ascii="Times New Roman" w:hAnsi="Times New Roman" w:eastAsia="仿宋_GB2312" w:cs="仿宋_GB2312"/>
      <w:spacing w:val="-6"/>
      <w:kern w:val="0"/>
      <w:sz w:val="32"/>
      <w:szCs w:val="32"/>
    </w:rPr>
  </w:style>
  <w:style w:type="character" w:customStyle="1" w:styleId="21">
    <w:name w:val="标题 2 Char"/>
    <w:link w:val="3"/>
    <w:uiPriority w:val="0"/>
    <w:rPr>
      <w:rFonts w:ascii="Times New Roman" w:hAnsi="Times New Roman" w:eastAsia="楷体_GB2312" w:cs="楷体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2026-04-29T03:13:00Z</dcterms:created>
  <dc:creator>吴丽丽</dc:creator>
  <cp:lastModifiedBy>吴丽丽</cp:lastModifiedBy>
  <dcterms:modified xsi:type="dcterms:W3CDTF">2026-04-29T03:21:43Z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CE08F685439A48C0837DFEE41F0B09DD_13</vt:lpwstr>
  </property>
  <property fmtid="{D5CDD505-2E9C-101B-9397-08002B2CF9AE}" pid="4" name="KSOTemplateDocerSaveRecord">
    <vt:lpwstr>eyJoZGlkIjoiZmZkOGUzZTIwNzYyMTkwZWRlZThlZmQwY2ZiN2EwYTMiLCJ1c2VySWQiOiI1MjQ5OTc0MDEifQ==</vt:lpwstr>
  </property>
</Properties>
</file>