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发票差旅数据分析及商旅平台建设佐证说明</w:t>
      </w:r>
    </w:p>
    <w:p>
      <w:pPr>
        <w:spacing w:line="360" w:lineRule="auto"/>
        <w:ind w:firstLine="480"/>
      </w:pPr>
      <w:r>
        <w:t>根据《发票.xls》数据，本次对科研所发票明细进行了结构化清洗和差旅相关识别。样本有效发票 64,016 条，日期覆盖 2019-01-01 至 2025-12-31，为 2019-2025 年多年度样本。考虑到原始表仅包含所属单位、单据日期、销方名称、金额、税额、价税合计、创建人等字段，未包含行程单号、出差事由、订单类型和实际出行人字段，本文以销方名称作为主要识别依据，将酒店住宿、铁路、航空、网约车/市内出行、租车/包车、油费/过路费、票务/商旅服务纳入可识别差旅统计。</w:t>
      </w:r>
    </w:p>
    <w:p>
      <w:pPr>
        <w:spacing w:line="360" w:lineRule="auto"/>
        <w:ind w:firstLine="480"/>
      </w:pPr>
      <w:r>
        <w:t>按上述口径，样本中可识别差旅票据 40,848 条，金额 85,691,764.02 元；其中住宿票据 28,851 条，住宿金额 71,510,805.24 元，涉及酒店及住宿机构 5,253 家，可识别酒店目的地 378 个；交通及票务相关票据 11,997 条，金额 14,180,958.78 元。差旅数据在人员、酒店、目的地和出行方式上均呈现多点分散特征，具备通过统一商旅平台进行集中预订、协议议价、差标校验和对账归集的现实基础。</w:t>
      </w:r>
    </w:p>
    <w:p>
      <w:pPr>
        <w:spacing w:line="360" w:lineRule="auto"/>
        <w:ind w:firstLine="480"/>
      </w:pPr>
      <w:r>
        <w:t>从人员维度看，创建人字段能够反映报销或票据归集责任人。高频人员对应较多住宿、交通或票务发票，说明差旅活动并非零散偶发，而是在部分岗位和业务条线中持续发生。平台上线后，可将个人分散订票订房转化为统一入口下的订单流，减少员工自行比价、索票、填单和补充材料的事务性耗时。</w:t>
      </w:r>
    </w:p>
    <w:p>
      <w:pPr>
        <w:spacing w:line="360" w:lineRule="auto"/>
        <w:ind w:firstLine="480"/>
      </w:pPr>
      <w:r>
        <w:t>从住宿维度看，酒店供应商数量较多，且目的地集中于北京、包头、乌拉特前旗、怀来等地，同时也覆盖多个异地城市。该特征说明酒店资源存在集中采购和协议价管理空间。接入商旅平台后，可围绕高频目的地建立协议酒店池，并将住宿标准、审批权限、超标提示和月结规则前置到预订环节。</w:t>
      </w:r>
    </w:p>
    <w:p>
      <w:pPr>
        <w:spacing w:line="360" w:lineRule="auto"/>
        <w:ind w:firstLine="480"/>
      </w:pPr>
      <w:r>
        <w:t>从出行方式看，铁路、航空、网约车/市内出行、租车/包车、油费/过路费及票务/商旅服务均有记录。现有发票口径下，旅行社、OTA和商旅服务商可能混合承载机票、火车票、住宿等业务，导致后续统计需要依赖名称推断。平台化后可按订单类型直接生成交通票段、退改签、服务费、发票状态和对账结果，提升管理报表的准确性和可追溯性。</w:t>
      </w:r>
    </w:p>
    <w:p>
      <w:pPr>
        <w:spacing w:line="360" w:lineRule="auto"/>
        <w:ind w:firstLine="480"/>
      </w:pPr>
      <w:r>
        <w:t>同时，样本中仍有销方名称为空或无法由名称判定类型的记录 10,206 条，金额 232,277,395.44 元。这类数据在人工票据归集模式下难以直接形成管理驾驶舱，也难以支撑酒店间夜、交通票段、退改签和服务费等更细颗粒度分析。由此看，接入商旅平台不仅是降本工具，也是差旅数据标准化工具。</w:t>
      </w:r>
    </w:p>
    <w:p>
      <w:pPr>
        <w:spacing w:line="360" w:lineRule="auto"/>
        <w:ind w:firstLine="480"/>
      </w:pPr>
      <w:r>
        <w:t>因此，本次发票统计可作为《云上一机接入商旅平台提升差旅管理质效的汇报》的进一步数据佐证：一是差旅票据规模和参与人员具备集中管理必要性；二是酒店供应商和目的地分散，具备协议酒店整合和价格优化空间；三是交通及票务类型多样，具备统一订票、统一退改、统一对账的流程优化空间；四是当前原始字段不足以支撑精细化差旅治理，接入商旅平台后可补齐订单、行程、人员、差标、供应商、发票和结算维度数据。</w:t>
      </w:r>
    </w:p>
    <w:p>
      <w:pPr>
        <w:pStyle w:val="Heading2"/>
      </w:pPr>
      <w:r>
        <w:t>表1  差旅相关类别统计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票据数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金额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人员数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酒店住宿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28,851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71,510,805.24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票务/商旅服务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5,396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896,207.16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铁路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2,895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662,295.00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网约车/市内出行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2,020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176,356.43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航空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1,111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4,545,001.00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油费/过路费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358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559,188.39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租车/包车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217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7,341,910.80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</w:tr>
    </w:tbl>
    <w:p>
      <w:pPr>
        <w:pStyle w:val="Heading2"/>
      </w:pPr>
      <w:r>
        <w:t>表2  年度发票与可识别差旅趋势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0"/>
        <w:gridCol w:w="2650"/>
        <w:gridCol w:w="2650"/>
        <w:gridCol w:w="2650"/>
        <w:gridCol w:w="2650"/>
      </w:tblGrid>
      <w:tr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年度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全部票据数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全部金额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可识别差旅票据数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可识别差旅金额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2019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9,012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181,311,878.81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2020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6,727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150,623,059.28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4,060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13,775,991.99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2021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7,838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112,285,331.32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5,700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13,839,130.29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2022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5,978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156,106,929.76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4,011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11,484,067.91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2023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10,256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170,802,316.89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7,811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17,238,870.75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2024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9,336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170,326,876.20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7,180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13,000,868.11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2025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14,869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223,000,377.56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12,086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sz w:val="17"/>
              </w:rPr>
              <w:t>16,352,834.97</w:t>
            </w:r>
          </w:p>
        </w:tc>
      </w:tr>
    </w:tbl>
    <w:p>
      <w:r>
        <w:br w:type="page"/>
      </w:r>
    </w:p>
    <w:p>
      <w:pPr>
        <w:pStyle w:val="Heading2"/>
      </w:pPr>
      <w:r>
        <w:t>表3  高频出差/报销人员统计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8"/>
        <w:gridCol w:w="2208"/>
        <w:gridCol w:w="2208"/>
        <w:gridCol w:w="2208"/>
        <w:gridCol w:w="2208"/>
        <w:gridCol w:w="2208"/>
      </w:tblGrid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创建人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差旅票据数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涉及日期数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酒店票据数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交通票据数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金额</w:t>
            </w:r>
          </w:p>
        </w:tc>
      </w:tr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陈燕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26,998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487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17,100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9,898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47,538,257.88</w:t>
            </w:r>
          </w:p>
        </w:tc>
      </w:tr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蔺鹏程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9,435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298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8,012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1,423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25,289,009.38</w:t>
            </w:r>
          </w:p>
        </w:tc>
      </w:tr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郜越峰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1,773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1,417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356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5,337,903.40</w:t>
            </w:r>
          </w:p>
        </w:tc>
      </w:tr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廖家静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557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111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528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29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2,013,405.99</w:t>
            </w:r>
          </w:p>
        </w:tc>
      </w:tr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郑霜霜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429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167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356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73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496,921.32</w:t>
            </w:r>
          </w:p>
        </w:tc>
      </w:tr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索莹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415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161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347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68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1,103,882.26</w:t>
            </w:r>
          </w:p>
        </w:tc>
      </w:tr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韩淑婷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385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124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349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1,210,642.46</w:t>
            </w:r>
          </w:p>
        </w:tc>
      </w:tr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映日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325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284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41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1,163,364.65</w:t>
            </w:r>
          </w:p>
        </w:tc>
      </w:tr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王森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239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91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217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1,071,353.02</w:t>
            </w:r>
          </w:p>
        </w:tc>
      </w:tr>
      <w:tr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张文鑫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137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121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2208"/>
          </w:tcPr>
          <w:p>
            <w:pPr>
              <w:spacing w:after="0"/>
            </w:pPr>
            <w:r>
              <w:rPr>
                <w:sz w:val="17"/>
              </w:rPr>
              <w:t>63,560.94</w:t>
            </w:r>
          </w:p>
        </w:tc>
      </w:tr>
    </w:tbl>
    <w:p>
      <w:pPr>
        <w:pStyle w:val="Heading2"/>
      </w:pPr>
      <w:r>
        <w:t>表4  主要酒店及住宿机构统计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酒店/住宿机构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酒店所在地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票据数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金额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北京维科宾馆有限公司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3,252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10,459,861.56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包头兵工新世纪宾馆有限公司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包头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1,596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45,152,103.44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北京燕岭宾馆有限公司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1,220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1,267,761.45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北京鑫诚安泰酒店管理服务有限公司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697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251,493.36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北京邸阁酒店管理有限公司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444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142,629.16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北京凯博酒店管理有限公司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353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109,221.95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北京华裕酒店管理有限公司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274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87,246.90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北京休闲驿站快捷酒店有限责任公司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257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113,778.60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怀来县兴隆酒店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张家口怀来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239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293,466.60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北京华坤宾馆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234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76,686.08</w:t>
            </w:r>
          </w:p>
        </w:tc>
      </w:tr>
    </w:tbl>
    <w:p>
      <w:r>
        <w:br w:type="page"/>
      </w:r>
    </w:p>
    <w:p>
      <w:pPr>
        <w:pStyle w:val="Heading2"/>
      </w:pPr>
      <w:r>
        <w:t>表5  出行方式及票务服务统计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票据数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金额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人员数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票务/商旅服务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5,396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896,207.16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铁路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2,895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662,295.00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网约车/市内出行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2,020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176,356.43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航空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1,111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4,545,001.00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油费/过路费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358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559,188.39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租车/包车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217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7,341,910.80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</w:tr>
    </w:tbl>
    <w:p>
      <w:pPr>
        <w:pStyle w:val="Heading2"/>
      </w:pPr>
      <w:r>
        <w:t>表6  酒店目的地统计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6"/>
        <w:gridCol w:w="4416"/>
        <w:gridCol w:w="4416"/>
      </w:tblGrid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酒店所在地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票据数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金额</w:t>
            </w:r>
          </w:p>
        </w:tc>
      </w:tr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15,106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17,298,652.58</w:t>
            </w:r>
          </w:p>
        </w:tc>
      </w:tr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包头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1,623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45,190,945.44</w:t>
            </w:r>
          </w:p>
        </w:tc>
      </w:tr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巴彦淖尔乌拉特前旗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915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612,279.36</w:t>
            </w:r>
          </w:p>
        </w:tc>
      </w:tr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西安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755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401,682.89</w:t>
            </w:r>
          </w:p>
        </w:tc>
      </w:tr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南京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482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178,460.25</w:t>
            </w:r>
          </w:p>
        </w:tc>
      </w:tr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武汉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365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162,291.88</w:t>
            </w:r>
          </w:p>
        </w:tc>
      </w:tr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天津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328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137,316.42</w:t>
            </w:r>
          </w:p>
        </w:tc>
      </w:tr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张家口怀来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320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476,387.10</w:t>
            </w:r>
          </w:p>
        </w:tc>
      </w:tr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上海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306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119,721.98</w:t>
            </w:r>
          </w:p>
        </w:tc>
      </w:tr>
      <w:tr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重庆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299</w:t>
            </w:r>
          </w:p>
        </w:tc>
        <w:tc>
          <w:tcPr>
            <w:tcW w:type="dxa" w:w="4416"/>
          </w:tcPr>
          <w:p>
            <w:pPr>
              <w:spacing w:after="0"/>
            </w:pPr>
            <w:r>
              <w:rPr>
                <w:sz w:val="17"/>
              </w:rPr>
              <w:t>185,684.21</w:t>
            </w:r>
          </w:p>
        </w:tc>
      </w:tr>
    </w:tbl>
    <w:p>
      <w:pPr>
        <w:spacing w:line="360" w:lineRule="auto"/>
        <w:ind w:firstLine="480"/>
      </w:pPr>
      <w:r>
        <w:rPr>
          <w:b/>
        </w:rPr>
        <w:t>口径说明：</w:t>
      </w:r>
      <w:r>
        <w:t>本稿中的“次数”均指发票或票据明细条数；“出差人员”以创建人字段近似表示；“酒店所在地”按酒店或住宿机构销方名称中的行政区划关键词推断。由于原始数据未提供实际入住人、入住晚数、出发到达城市、订单类型和行程编号，相关统计适合作为平台建设必要性和管理改进口径的佐证，不宜直接等同于实际出差人次或入住间夜。</w:t>
      </w:r>
    </w:p>
    <w:sectPr w:rsidR="00FC693F" w:rsidRPr="0006063C" w:rsidSect="00034616">
      <w:pgSz w:w="15840" w:h="12240" w:orient="landscape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