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Definição do Problema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 é a dificuldade existente?</w:t>
      </w:r>
      <w:r w:rsidDel="00000000" w:rsidR="00000000" w:rsidRPr="00000000">
        <w:rPr>
          <w:rtl w:val="0"/>
        </w:rPr>
        <w:t xml:space="preserve"> Usuários comuns têm dificuldade em identificar se um site é falso ou legítimo, sendo facilmente enganados por páginas que imitam bancos, lojas e serviços conhecidos para roubar dados pessoais e financeiros.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Quem será afetado?</w:t>
      </w:r>
      <w:r w:rsidDel="00000000" w:rsidR="00000000" w:rsidRPr="00000000">
        <w:rPr>
          <w:rtl w:val="0"/>
        </w:rPr>
        <w:t xml:space="preserve"> Qualquer pessoa que acessa a internet, especialmente usuários menos experientes em tecnologia, como idosos e jovens sem educação digital.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é importante resolver isso?</w:t>
      </w:r>
      <w:r w:rsidDel="00000000" w:rsidR="00000000" w:rsidRPr="00000000">
        <w:rPr>
          <w:rtl w:val="0"/>
        </w:rPr>
        <w:t xml:space="preserve"> Golpes de phishing causam prejuízos financeiros e exposição de dados sensíveis todos os anos. Uma ferramenta acessível de verificação pode prevenir essas fraudes antes que o usuário caia no golpe.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