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B4" w:rsidRPr="00831ED2" w:rsidRDefault="00401402">
      <w:pPr>
        <w:rPr>
          <w:rFonts w:ascii="Gill Sans MT" w:hAnsi="Gill Sans MT"/>
          <w:sz w:val="28"/>
          <w:szCs w:val="28"/>
        </w:rPr>
      </w:pPr>
      <w:r w:rsidRPr="00831ED2">
        <w:rPr>
          <w:rFonts w:ascii="Gill Sans MT" w:hAnsi="Gill Sans MT"/>
          <w:b/>
          <w:sz w:val="28"/>
          <w:szCs w:val="28"/>
        </w:rPr>
        <w:t xml:space="preserve">Suite étude de </w:t>
      </w:r>
      <w:proofErr w:type="spellStart"/>
      <w:r w:rsidRPr="00831ED2">
        <w:rPr>
          <w:rFonts w:ascii="Gill Sans MT" w:hAnsi="Gill Sans MT"/>
          <w:b/>
          <w:sz w:val="28"/>
          <w:szCs w:val="28"/>
        </w:rPr>
        <w:t>Hoffstoede</w:t>
      </w:r>
      <w:proofErr w:type="spellEnd"/>
      <w:r w:rsidRPr="00831ED2">
        <w:rPr>
          <w:rFonts w:ascii="Gill Sans MT" w:hAnsi="Gill Sans MT"/>
          <w:sz w:val="28"/>
          <w:szCs w:val="28"/>
        </w:rPr>
        <w:t> :</w:t>
      </w:r>
    </w:p>
    <w:p w:rsidR="00794EA9" w:rsidRPr="00831ED2" w:rsidRDefault="00794EA9">
      <w:pPr>
        <w:rPr>
          <w:rFonts w:ascii="Gill Sans MT" w:hAnsi="Gill Sans MT"/>
          <w:i/>
          <w:color w:val="FF0000"/>
          <w:sz w:val="28"/>
          <w:szCs w:val="28"/>
        </w:rPr>
      </w:pPr>
    </w:p>
    <w:p w:rsidR="00401402" w:rsidRPr="00831ED2" w:rsidRDefault="00401402">
      <w:pPr>
        <w:rPr>
          <w:rFonts w:ascii="Gill Sans MT" w:hAnsi="Gill Sans MT"/>
          <w:i/>
          <w:sz w:val="28"/>
          <w:szCs w:val="28"/>
        </w:rPr>
      </w:pPr>
      <w:r w:rsidRPr="00831ED2">
        <w:rPr>
          <w:rFonts w:ascii="Gill Sans MT" w:hAnsi="Gill Sans MT"/>
          <w:i/>
          <w:color w:val="FF0000"/>
          <w:sz w:val="28"/>
          <w:szCs w:val="28"/>
        </w:rPr>
        <w:t>3.</w:t>
      </w:r>
      <w:r w:rsidRPr="00831ED2">
        <w:rPr>
          <w:rFonts w:ascii="Gill Sans MT" w:hAnsi="Gill Sans MT"/>
          <w:i/>
          <w:sz w:val="28"/>
          <w:szCs w:val="28"/>
        </w:rPr>
        <w:t xml:space="preserve"> </w:t>
      </w:r>
      <w:r w:rsidRPr="00831ED2">
        <w:rPr>
          <w:rFonts w:ascii="Gill Sans MT" w:hAnsi="Gill Sans MT"/>
          <w:i/>
          <w:color w:val="00B050"/>
          <w:sz w:val="28"/>
          <w:szCs w:val="28"/>
        </w:rPr>
        <w:t xml:space="preserve">Facteur clé du succès de rachat de </w:t>
      </w:r>
      <w:r w:rsidR="00794EA9" w:rsidRPr="00831ED2">
        <w:rPr>
          <w:rFonts w:ascii="Gill Sans MT" w:hAnsi="Gill Sans MT"/>
          <w:i/>
          <w:color w:val="00B050"/>
          <w:sz w:val="28"/>
          <w:szCs w:val="28"/>
        </w:rPr>
        <w:t xml:space="preserve">Price </w:t>
      </w:r>
      <w:proofErr w:type="spellStart"/>
      <w:r w:rsidR="00794EA9" w:rsidRPr="00831ED2">
        <w:rPr>
          <w:rFonts w:ascii="Gill Sans MT" w:hAnsi="Gill Sans MT"/>
          <w:i/>
          <w:color w:val="00B050"/>
          <w:sz w:val="28"/>
          <w:szCs w:val="28"/>
        </w:rPr>
        <w:t>Minister</w:t>
      </w:r>
      <w:proofErr w:type="spellEnd"/>
      <w:r w:rsidR="00794EA9" w:rsidRPr="00831ED2">
        <w:rPr>
          <w:rFonts w:ascii="Gill Sans MT" w:hAnsi="Gill Sans MT"/>
          <w:i/>
          <w:color w:val="00B050"/>
          <w:sz w:val="28"/>
          <w:szCs w:val="28"/>
        </w:rPr>
        <w:t xml:space="preserve"> sur </w:t>
      </w:r>
      <w:proofErr w:type="spellStart"/>
      <w:r w:rsidR="00794EA9" w:rsidRPr="00831ED2">
        <w:rPr>
          <w:rFonts w:ascii="Gill Sans MT" w:hAnsi="Gill Sans MT"/>
          <w:i/>
          <w:color w:val="00B050"/>
          <w:sz w:val="28"/>
          <w:szCs w:val="28"/>
        </w:rPr>
        <w:t>R</w:t>
      </w:r>
      <w:r w:rsidRPr="00831ED2">
        <w:rPr>
          <w:rFonts w:ascii="Gill Sans MT" w:hAnsi="Gill Sans MT"/>
          <w:i/>
          <w:color w:val="00B050"/>
          <w:sz w:val="28"/>
          <w:szCs w:val="28"/>
        </w:rPr>
        <w:t>akuten</w:t>
      </w:r>
      <w:proofErr w:type="spellEnd"/>
      <w:r w:rsidRPr="00831ED2">
        <w:rPr>
          <w:rFonts w:ascii="Gill Sans MT" w:hAnsi="Gill Sans MT"/>
          <w:i/>
          <w:color w:val="00B050"/>
          <w:sz w:val="28"/>
          <w:szCs w:val="28"/>
        </w:rPr>
        <w:t>.</w:t>
      </w:r>
    </w:p>
    <w:p w:rsidR="00401402" w:rsidRPr="00831ED2" w:rsidRDefault="00401402">
      <w:pPr>
        <w:rPr>
          <w:rFonts w:ascii="Gill Sans MT" w:hAnsi="Gill Sans MT"/>
          <w:sz w:val="28"/>
          <w:szCs w:val="28"/>
        </w:rPr>
      </w:pPr>
      <w:r w:rsidRPr="00831ED2">
        <w:rPr>
          <w:rFonts w:ascii="Gill Sans MT" w:hAnsi="Gill Sans MT"/>
          <w:sz w:val="28"/>
          <w:szCs w:val="28"/>
        </w:rPr>
        <w:t>Plusieurs facteurs clés sont à relever dans cette opération de rachat :</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Volonté de s’adapter aux méthodes managériales japonaise</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Analyse fine de la situation culturelle française par le top management japonais.</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Nomination d’un responsable transition culturelle dont  les recommandations sont suivies</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L’investissement personnel des manageurs français dans la transition (port de badge)</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Progressivité dans l’implantation des outils et des méthodes</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Favoriser l’apprentissage des clients européens</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Disponibilité et écoute des collaborateurs japonais</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Imposer une langue commune : anglais</w:t>
      </w:r>
    </w:p>
    <w:p w:rsidR="00401402" w:rsidRPr="00831ED2" w:rsidRDefault="00401402" w:rsidP="00794EA9">
      <w:pPr>
        <w:pStyle w:val="Paragraphedeliste"/>
        <w:numPr>
          <w:ilvl w:val="0"/>
          <w:numId w:val="4"/>
        </w:numPr>
        <w:rPr>
          <w:rFonts w:ascii="Gill Sans MT" w:hAnsi="Gill Sans MT"/>
          <w:sz w:val="28"/>
          <w:szCs w:val="28"/>
        </w:rPr>
      </w:pPr>
      <w:r w:rsidRPr="00831ED2">
        <w:rPr>
          <w:rFonts w:ascii="Gill Sans MT" w:hAnsi="Gill Sans MT"/>
          <w:sz w:val="28"/>
          <w:szCs w:val="28"/>
        </w:rPr>
        <w:t>Effort du top management français pour apprendre le japonais</w:t>
      </w:r>
    </w:p>
    <w:p w:rsidR="00401402" w:rsidRPr="00831ED2" w:rsidRDefault="00401402" w:rsidP="00401402">
      <w:pPr>
        <w:pStyle w:val="Paragraphedeliste"/>
        <w:numPr>
          <w:ilvl w:val="0"/>
          <w:numId w:val="1"/>
        </w:numPr>
        <w:rPr>
          <w:rFonts w:ascii="Gill Sans MT" w:hAnsi="Gill Sans MT"/>
          <w:sz w:val="28"/>
          <w:szCs w:val="28"/>
        </w:rPr>
      </w:pPr>
      <w:r w:rsidRPr="00831ED2">
        <w:rPr>
          <w:rFonts w:ascii="Gill Sans MT" w:hAnsi="Gill Sans MT"/>
          <w:sz w:val="28"/>
          <w:szCs w:val="28"/>
        </w:rPr>
        <w:t>Possibilité pour les collaborateurs intéressés d’apprendre le japonais</w:t>
      </w:r>
    </w:p>
    <w:p w:rsidR="00794EA9" w:rsidRPr="00831ED2" w:rsidRDefault="00794EA9" w:rsidP="00401402">
      <w:pPr>
        <w:rPr>
          <w:rFonts w:ascii="Gill Sans MT" w:hAnsi="Gill Sans MT"/>
          <w:color w:val="FF0000"/>
          <w:sz w:val="28"/>
          <w:szCs w:val="28"/>
        </w:rPr>
      </w:pPr>
    </w:p>
    <w:p w:rsidR="00401402" w:rsidRPr="00831ED2" w:rsidRDefault="00401402" w:rsidP="00401402">
      <w:pPr>
        <w:rPr>
          <w:rFonts w:ascii="Gill Sans MT" w:hAnsi="Gill Sans MT"/>
          <w:i/>
          <w:color w:val="00B050"/>
          <w:sz w:val="28"/>
          <w:szCs w:val="28"/>
        </w:rPr>
      </w:pPr>
      <w:r w:rsidRPr="00831ED2">
        <w:rPr>
          <w:rFonts w:ascii="Gill Sans MT" w:hAnsi="Gill Sans MT"/>
          <w:color w:val="FF0000"/>
          <w:sz w:val="28"/>
          <w:szCs w:val="28"/>
        </w:rPr>
        <w:t>4.</w:t>
      </w:r>
      <w:r w:rsidRPr="00831ED2">
        <w:rPr>
          <w:rFonts w:ascii="Gill Sans MT" w:hAnsi="Gill Sans MT"/>
          <w:sz w:val="28"/>
          <w:szCs w:val="28"/>
        </w:rPr>
        <w:t xml:space="preserve"> </w:t>
      </w:r>
      <w:r w:rsidRPr="00831ED2">
        <w:rPr>
          <w:rFonts w:ascii="Gill Sans MT" w:hAnsi="Gill Sans MT"/>
          <w:i/>
          <w:color w:val="00B050"/>
          <w:sz w:val="28"/>
          <w:szCs w:val="28"/>
        </w:rPr>
        <w:t>Quelle</w:t>
      </w:r>
      <w:r w:rsidR="00794EA9" w:rsidRPr="00831ED2">
        <w:rPr>
          <w:rFonts w:ascii="Gill Sans MT" w:hAnsi="Gill Sans MT"/>
          <w:i/>
          <w:color w:val="00B050"/>
          <w:sz w:val="28"/>
          <w:szCs w:val="28"/>
        </w:rPr>
        <w:t>s</w:t>
      </w:r>
      <w:r w:rsidRPr="00831ED2">
        <w:rPr>
          <w:rFonts w:ascii="Gill Sans MT" w:hAnsi="Gill Sans MT"/>
          <w:i/>
          <w:color w:val="00B050"/>
          <w:sz w:val="28"/>
          <w:szCs w:val="28"/>
        </w:rPr>
        <w:t xml:space="preserve"> leçon</w:t>
      </w:r>
      <w:r w:rsidR="00794EA9" w:rsidRPr="00831ED2">
        <w:rPr>
          <w:rFonts w:ascii="Gill Sans MT" w:hAnsi="Gill Sans MT"/>
          <w:i/>
          <w:color w:val="00B050"/>
          <w:sz w:val="28"/>
          <w:szCs w:val="28"/>
        </w:rPr>
        <w:t>s</w:t>
      </w:r>
      <w:r w:rsidRPr="00831ED2">
        <w:rPr>
          <w:rFonts w:ascii="Gill Sans MT" w:hAnsi="Gill Sans MT"/>
          <w:i/>
          <w:color w:val="00B050"/>
          <w:sz w:val="28"/>
          <w:szCs w:val="28"/>
        </w:rPr>
        <w:t xml:space="preserve"> tirée</w:t>
      </w:r>
      <w:r w:rsidR="00794EA9" w:rsidRPr="00831ED2">
        <w:rPr>
          <w:rFonts w:ascii="Gill Sans MT" w:hAnsi="Gill Sans MT"/>
          <w:i/>
          <w:color w:val="00B050"/>
          <w:sz w:val="28"/>
          <w:szCs w:val="28"/>
        </w:rPr>
        <w:t>s</w:t>
      </w:r>
      <w:r w:rsidRPr="00831ED2">
        <w:rPr>
          <w:rFonts w:ascii="Gill Sans MT" w:hAnsi="Gill Sans MT"/>
          <w:i/>
          <w:color w:val="00B050"/>
          <w:sz w:val="28"/>
          <w:szCs w:val="28"/>
        </w:rPr>
        <w:t xml:space="preserve"> de ces deux cas d’entreprises</w:t>
      </w:r>
      <w:r w:rsidR="00264907" w:rsidRPr="00831ED2">
        <w:rPr>
          <w:rFonts w:ascii="Gill Sans MT" w:hAnsi="Gill Sans MT"/>
          <w:i/>
          <w:color w:val="00B050"/>
          <w:sz w:val="28"/>
          <w:szCs w:val="28"/>
        </w:rPr>
        <w:t> ?</w:t>
      </w:r>
    </w:p>
    <w:p w:rsidR="00794EA9" w:rsidRPr="00831ED2" w:rsidRDefault="00794EA9" w:rsidP="00401402">
      <w:pPr>
        <w:rPr>
          <w:rFonts w:ascii="Gill Sans MT" w:hAnsi="Gill Sans MT"/>
          <w:sz w:val="28"/>
          <w:szCs w:val="28"/>
        </w:rPr>
      </w:pPr>
      <w:r w:rsidRPr="00831ED2">
        <w:rPr>
          <w:rFonts w:ascii="Gill Sans MT" w:hAnsi="Gill Sans MT"/>
          <w:sz w:val="28"/>
          <w:szCs w:val="28"/>
        </w:rPr>
        <w:t>3 leçons à tirer :</w:t>
      </w:r>
    </w:p>
    <w:p w:rsidR="00794EA9" w:rsidRPr="00831ED2" w:rsidRDefault="00794EA9" w:rsidP="00794EA9">
      <w:pPr>
        <w:pStyle w:val="Paragraphedeliste"/>
        <w:numPr>
          <w:ilvl w:val="0"/>
          <w:numId w:val="5"/>
        </w:numPr>
        <w:rPr>
          <w:rFonts w:ascii="Gill Sans MT" w:hAnsi="Gill Sans MT"/>
          <w:sz w:val="28"/>
          <w:szCs w:val="28"/>
        </w:rPr>
      </w:pPr>
      <w:r w:rsidRPr="00831ED2">
        <w:rPr>
          <w:rFonts w:ascii="Gill Sans MT" w:hAnsi="Gill Sans MT"/>
          <w:sz w:val="28"/>
          <w:szCs w:val="28"/>
        </w:rPr>
        <w:t>Culture managériale nationale influence fortement la culture des entreprises</w:t>
      </w:r>
    </w:p>
    <w:p w:rsidR="00794EA9" w:rsidRPr="00831ED2" w:rsidRDefault="00794EA9" w:rsidP="00794EA9">
      <w:pPr>
        <w:pStyle w:val="Paragraphedeliste"/>
        <w:numPr>
          <w:ilvl w:val="0"/>
          <w:numId w:val="5"/>
        </w:numPr>
        <w:rPr>
          <w:rFonts w:ascii="Gill Sans MT" w:hAnsi="Gill Sans MT"/>
          <w:sz w:val="28"/>
          <w:szCs w:val="28"/>
        </w:rPr>
      </w:pPr>
      <w:r w:rsidRPr="00831ED2">
        <w:rPr>
          <w:rFonts w:ascii="Gill Sans MT" w:hAnsi="Gill Sans MT"/>
          <w:sz w:val="28"/>
          <w:szCs w:val="28"/>
        </w:rPr>
        <w:t>Il existe un risque potentiel de choc culturel lors d’un achat, d’une fusion ou encore d’une absorption d’entreprise</w:t>
      </w:r>
    </w:p>
    <w:p w:rsidR="00794EA9" w:rsidRPr="00831ED2" w:rsidRDefault="00794EA9" w:rsidP="00794EA9">
      <w:pPr>
        <w:pStyle w:val="Paragraphedeliste"/>
        <w:numPr>
          <w:ilvl w:val="0"/>
          <w:numId w:val="5"/>
        </w:numPr>
        <w:rPr>
          <w:rFonts w:ascii="Gill Sans MT" w:hAnsi="Gill Sans MT"/>
          <w:sz w:val="28"/>
          <w:szCs w:val="28"/>
        </w:rPr>
      </w:pPr>
      <w:r w:rsidRPr="00831ED2">
        <w:rPr>
          <w:rFonts w:ascii="Gill Sans MT" w:hAnsi="Gill Sans MT"/>
          <w:sz w:val="28"/>
          <w:szCs w:val="28"/>
        </w:rPr>
        <w:t>Nécessite de réfléchir à la compatibilité des cultures d’entreprises avant tout opération de rapprochement et préparer la transition identitaire des collaborateurs.</w:t>
      </w:r>
    </w:p>
    <w:p w:rsidR="00401402" w:rsidRDefault="00401402" w:rsidP="00401402">
      <w:pPr>
        <w:rPr>
          <w:rFonts w:ascii="Gill Sans MT" w:hAnsi="Gill Sans MT"/>
          <w:sz w:val="28"/>
          <w:szCs w:val="28"/>
        </w:rPr>
      </w:pPr>
    </w:p>
    <w:p w:rsidR="00831ED2" w:rsidRDefault="00831ED2" w:rsidP="00401402">
      <w:pPr>
        <w:rPr>
          <w:rFonts w:ascii="Gill Sans MT" w:hAnsi="Gill Sans MT"/>
          <w:sz w:val="28"/>
          <w:szCs w:val="28"/>
        </w:rPr>
      </w:pPr>
    </w:p>
    <w:p w:rsidR="00831ED2" w:rsidRDefault="00831ED2" w:rsidP="00401402">
      <w:pPr>
        <w:rPr>
          <w:rFonts w:ascii="Gill Sans MT" w:hAnsi="Gill Sans MT"/>
          <w:sz w:val="28"/>
          <w:szCs w:val="28"/>
        </w:rPr>
      </w:pPr>
    </w:p>
    <w:p w:rsidR="00831ED2" w:rsidRPr="00831ED2" w:rsidRDefault="00831ED2" w:rsidP="00401402">
      <w:pPr>
        <w:rPr>
          <w:rFonts w:ascii="Gill Sans MT" w:hAnsi="Gill Sans MT"/>
          <w:sz w:val="28"/>
          <w:szCs w:val="28"/>
        </w:rPr>
      </w:pPr>
    </w:p>
    <w:p w:rsidR="00794EA9" w:rsidRPr="00831ED2" w:rsidRDefault="00794EA9" w:rsidP="00401402">
      <w:pPr>
        <w:rPr>
          <w:rFonts w:ascii="Gill Sans MT" w:hAnsi="Gill Sans MT"/>
          <w:b/>
          <w:color w:val="FF0000"/>
          <w:sz w:val="28"/>
          <w:szCs w:val="28"/>
          <w:u w:val="single"/>
        </w:rPr>
      </w:pPr>
      <w:r w:rsidRPr="00831ED2">
        <w:rPr>
          <w:rFonts w:ascii="Gill Sans MT" w:hAnsi="Gill Sans MT"/>
          <w:b/>
          <w:color w:val="FF0000"/>
          <w:sz w:val="28"/>
          <w:szCs w:val="28"/>
          <w:u w:val="single"/>
        </w:rPr>
        <w:lastRenderedPageBreak/>
        <w:t>Synthèse :</w:t>
      </w:r>
    </w:p>
    <w:p w:rsidR="00794EA9" w:rsidRPr="00831ED2" w:rsidRDefault="00794EA9" w:rsidP="00401402">
      <w:pPr>
        <w:rPr>
          <w:rFonts w:ascii="Gill Sans MT" w:hAnsi="Gill Sans MT"/>
          <w:sz w:val="28"/>
          <w:szCs w:val="28"/>
        </w:rPr>
      </w:pPr>
      <w:r w:rsidRPr="00831ED2">
        <w:rPr>
          <w:rFonts w:ascii="Gill Sans MT" w:hAnsi="Gill Sans MT"/>
          <w:sz w:val="28"/>
          <w:szCs w:val="28"/>
        </w:rPr>
        <w:t xml:space="preserve">Hormis les facteurs de différenciation culturels de </w:t>
      </w:r>
      <w:proofErr w:type="spellStart"/>
      <w:r w:rsidRPr="00831ED2">
        <w:rPr>
          <w:rFonts w:ascii="Gill Sans MT" w:hAnsi="Gill Sans MT"/>
          <w:sz w:val="28"/>
          <w:szCs w:val="28"/>
        </w:rPr>
        <w:t>Hofstede</w:t>
      </w:r>
      <w:proofErr w:type="spellEnd"/>
      <w:r w:rsidRPr="00831ED2">
        <w:rPr>
          <w:rFonts w:ascii="Gill Sans MT" w:hAnsi="Gill Sans MT"/>
          <w:sz w:val="28"/>
          <w:szCs w:val="28"/>
        </w:rPr>
        <w:t xml:space="preserve"> on retrouve 4 facteurs supplémentaires :</w:t>
      </w:r>
    </w:p>
    <w:p w:rsidR="00794EA9" w:rsidRPr="00831ED2" w:rsidRDefault="00794EA9" w:rsidP="00794EA9">
      <w:pPr>
        <w:pStyle w:val="Paragraphedeliste"/>
        <w:numPr>
          <w:ilvl w:val="0"/>
          <w:numId w:val="3"/>
        </w:numPr>
        <w:rPr>
          <w:rFonts w:ascii="Gill Sans MT" w:hAnsi="Gill Sans MT"/>
          <w:sz w:val="28"/>
          <w:szCs w:val="28"/>
        </w:rPr>
      </w:pPr>
      <w:r w:rsidRPr="001F435F">
        <w:rPr>
          <w:rFonts w:ascii="Gill Sans MT" w:hAnsi="Gill Sans MT"/>
          <w:b/>
          <w:sz w:val="28"/>
          <w:szCs w:val="28"/>
        </w:rPr>
        <w:t>La religion :</w:t>
      </w:r>
      <w:r w:rsidRPr="00831ED2">
        <w:rPr>
          <w:rFonts w:ascii="Gill Sans MT" w:hAnsi="Gill Sans MT"/>
          <w:sz w:val="28"/>
          <w:szCs w:val="28"/>
        </w:rPr>
        <w:t xml:space="preserve"> Si la religion en occident est devenue une affaire d’adhésion personnelle, elle exerce encore une forte pression sur les individus dans d’autres parties du monde</w:t>
      </w:r>
    </w:p>
    <w:p w:rsidR="00831ED2" w:rsidRPr="00831ED2" w:rsidRDefault="00794EA9" w:rsidP="00794EA9">
      <w:pPr>
        <w:pStyle w:val="Paragraphedeliste"/>
        <w:numPr>
          <w:ilvl w:val="0"/>
          <w:numId w:val="3"/>
        </w:numPr>
        <w:rPr>
          <w:rFonts w:ascii="Gill Sans MT" w:hAnsi="Gill Sans MT"/>
          <w:sz w:val="28"/>
          <w:szCs w:val="28"/>
        </w:rPr>
      </w:pPr>
      <w:r w:rsidRPr="001F435F">
        <w:rPr>
          <w:rFonts w:ascii="Gill Sans MT" w:hAnsi="Gill Sans MT"/>
          <w:b/>
          <w:sz w:val="28"/>
          <w:szCs w:val="28"/>
        </w:rPr>
        <w:t>Mode de raisonnement et de management :</w:t>
      </w:r>
      <w:r w:rsidRPr="00831ED2">
        <w:rPr>
          <w:rFonts w:ascii="Gill Sans MT" w:hAnsi="Gill Sans MT"/>
          <w:sz w:val="28"/>
          <w:szCs w:val="28"/>
        </w:rPr>
        <w:t xml:space="preserve"> 2 types de raisonnements qui se retrouvent dans l’organisation de l’entreprise : </w:t>
      </w:r>
    </w:p>
    <w:p w:rsidR="00831ED2" w:rsidRPr="00831ED2" w:rsidRDefault="00831ED2" w:rsidP="00831ED2">
      <w:pPr>
        <w:pStyle w:val="Paragraphedeliste"/>
        <w:numPr>
          <w:ilvl w:val="0"/>
          <w:numId w:val="8"/>
        </w:numPr>
        <w:rPr>
          <w:rFonts w:ascii="Gill Sans MT" w:hAnsi="Gill Sans MT"/>
          <w:sz w:val="28"/>
          <w:szCs w:val="28"/>
        </w:rPr>
      </w:pPr>
      <w:r w:rsidRPr="00831ED2">
        <w:rPr>
          <w:rFonts w:ascii="Gill Sans MT" w:hAnsi="Gill Sans MT"/>
          <w:sz w:val="28"/>
          <w:szCs w:val="28"/>
        </w:rPr>
        <w:t>R</w:t>
      </w:r>
      <w:r w:rsidR="00794EA9" w:rsidRPr="00831ED2">
        <w:rPr>
          <w:rFonts w:ascii="Gill Sans MT" w:hAnsi="Gill Sans MT"/>
          <w:sz w:val="28"/>
          <w:szCs w:val="28"/>
        </w:rPr>
        <w:t>aisonnement inductif où l’on passe de l’observation des faits à une proposition et une élaboration de règles (fonctionnement anglo-saxon)</w:t>
      </w:r>
      <w:r w:rsidRPr="00831ED2">
        <w:rPr>
          <w:rFonts w:ascii="Gill Sans MT" w:hAnsi="Gill Sans MT"/>
          <w:sz w:val="28"/>
          <w:szCs w:val="28"/>
        </w:rPr>
        <w:t xml:space="preserve"> </w:t>
      </w:r>
      <w:r w:rsidRPr="00831ED2">
        <w:rPr>
          <w:rFonts w:ascii="Gill Sans MT" w:hAnsi="Gill Sans MT"/>
          <w:sz w:val="28"/>
          <w:szCs w:val="28"/>
        </w:rPr>
        <w:sym w:font="Wingdings" w:char="F0E0"/>
      </w:r>
      <w:r w:rsidRPr="00831ED2">
        <w:rPr>
          <w:rFonts w:ascii="Gill Sans MT" w:hAnsi="Gill Sans MT"/>
          <w:sz w:val="28"/>
          <w:szCs w:val="28"/>
        </w:rPr>
        <w:t xml:space="preserve"> </w:t>
      </w:r>
      <w:proofErr w:type="spellStart"/>
      <w:r w:rsidRPr="00831ED2">
        <w:rPr>
          <w:rFonts w:ascii="Gill Sans MT" w:hAnsi="Gill Sans MT"/>
          <w:sz w:val="28"/>
          <w:szCs w:val="28"/>
        </w:rPr>
        <w:t>bottom</w:t>
      </w:r>
      <w:proofErr w:type="spellEnd"/>
      <w:r w:rsidRPr="00831ED2">
        <w:rPr>
          <w:rFonts w:ascii="Gill Sans MT" w:hAnsi="Gill Sans MT"/>
          <w:sz w:val="28"/>
          <w:szCs w:val="28"/>
        </w:rPr>
        <w:t xml:space="preserve"> up</w:t>
      </w:r>
    </w:p>
    <w:p w:rsidR="00831ED2" w:rsidRPr="00831ED2" w:rsidRDefault="00831ED2" w:rsidP="00831ED2">
      <w:pPr>
        <w:pStyle w:val="Paragraphedeliste"/>
        <w:numPr>
          <w:ilvl w:val="0"/>
          <w:numId w:val="8"/>
        </w:numPr>
        <w:rPr>
          <w:rFonts w:ascii="Gill Sans MT" w:hAnsi="Gill Sans MT"/>
          <w:sz w:val="28"/>
          <w:szCs w:val="28"/>
        </w:rPr>
      </w:pPr>
      <w:r w:rsidRPr="00831ED2">
        <w:rPr>
          <w:rFonts w:ascii="Gill Sans MT" w:hAnsi="Gill Sans MT"/>
          <w:sz w:val="28"/>
          <w:szCs w:val="28"/>
        </w:rPr>
        <w:t xml:space="preserve">Raisonnement déductif. On va du général au particulier (du principe à la conséquence), c’est le fonctionnement français </w:t>
      </w:r>
      <w:r w:rsidRPr="00831ED2">
        <w:rPr>
          <w:rFonts w:ascii="Gill Sans MT" w:hAnsi="Gill Sans MT"/>
          <w:sz w:val="28"/>
          <w:szCs w:val="28"/>
        </w:rPr>
        <w:sym w:font="Wingdings" w:char="F0E0"/>
      </w:r>
      <w:r w:rsidRPr="00831ED2">
        <w:rPr>
          <w:rFonts w:ascii="Gill Sans MT" w:hAnsi="Gill Sans MT"/>
          <w:sz w:val="28"/>
          <w:szCs w:val="28"/>
        </w:rPr>
        <w:t xml:space="preserve"> top down</w:t>
      </w:r>
    </w:p>
    <w:p w:rsidR="00831ED2" w:rsidRDefault="00831ED2" w:rsidP="00831ED2">
      <w:pPr>
        <w:pStyle w:val="Paragraphedeliste"/>
        <w:numPr>
          <w:ilvl w:val="0"/>
          <w:numId w:val="7"/>
        </w:numPr>
        <w:rPr>
          <w:rFonts w:ascii="Gill Sans MT" w:hAnsi="Gill Sans MT"/>
          <w:sz w:val="28"/>
          <w:szCs w:val="28"/>
        </w:rPr>
      </w:pPr>
      <w:r w:rsidRPr="001F435F">
        <w:rPr>
          <w:rFonts w:ascii="Gill Sans MT" w:hAnsi="Gill Sans MT"/>
          <w:b/>
          <w:sz w:val="28"/>
          <w:szCs w:val="28"/>
        </w:rPr>
        <w:t>Contexte riche/pauvre en communication :</w:t>
      </w:r>
      <w:r w:rsidRPr="00831ED2">
        <w:rPr>
          <w:rFonts w:ascii="Gill Sans MT" w:hAnsi="Gill Sans MT"/>
          <w:sz w:val="28"/>
          <w:szCs w:val="28"/>
        </w:rPr>
        <w:t xml:space="preserve"> Il s’agit de l’ensemble des informations qui concourent à donner aux individus une signification à une situation. Dans une structure à contexte riche en communication, la communication est informelle, subjective</w:t>
      </w:r>
      <w:r>
        <w:rPr>
          <w:rFonts w:ascii="Gill Sans MT" w:hAnsi="Gill Sans MT"/>
          <w:sz w:val="28"/>
          <w:szCs w:val="28"/>
        </w:rPr>
        <w:t xml:space="preserve"> et non-verbale.</w:t>
      </w:r>
      <w:r w:rsidR="001F435F">
        <w:rPr>
          <w:rFonts w:ascii="Gill Sans MT" w:hAnsi="Gill Sans MT"/>
          <w:sz w:val="28"/>
          <w:szCs w:val="28"/>
        </w:rPr>
        <w:t xml:space="preserve"> A l’inverse, dans une culture pauvre en communication, l’info est formelle et informelle (par exemple, les japonais qui ont des réseaux d’informations étroits dans le cadre de leur relations familiales et professionnelles, ils communiquent avec un contexte riche alors que les américains ont un contexte de communication pauvre.</w:t>
      </w:r>
    </w:p>
    <w:p w:rsidR="002B2A5C" w:rsidRDefault="001F435F" w:rsidP="00831ED2">
      <w:pPr>
        <w:pStyle w:val="Paragraphedeliste"/>
        <w:numPr>
          <w:ilvl w:val="0"/>
          <w:numId w:val="7"/>
        </w:numPr>
        <w:rPr>
          <w:rFonts w:ascii="Gill Sans MT" w:hAnsi="Gill Sans MT"/>
          <w:sz w:val="28"/>
          <w:szCs w:val="28"/>
        </w:rPr>
      </w:pPr>
      <w:r>
        <w:rPr>
          <w:rFonts w:ascii="Gill Sans MT" w:hAnsi="Gill Sans MT"/>
          <w:b/>
          <w:sz w:val="28"/>
          <w:szCs w:val="28"/>
        </w:rPr>
        <w:t>Rapport au temps :</w:t>
      </w:r>
      <w:r>
        <w:rPr>
          <w:rFonts w:ascii="Gill Sans MT" w:hAnsi="Gill Sans MT"/>
          <w:sz w:val="28"/>
          <w:szCs w:val="28"/>
        </w:rPr>
        <w:t xml:space="preserve"> Il </w:t>
      </w:r>
      <w:r w:rsidR="002B2A5C">
        <w:rPr>
          <w:rFonts w:ascii="Gill Sans MT" w:hAnsi="Gill Sans MT"/>
          <w:sz w:val="28"/>
          <w:szCs w:val="28"/>
        </w:rPr>
        <w:t>dépend</w:t>
      </w:r>
      <w:r>
        <w:rPr>
          <w:rFonts w:ascii="Gill Sans MT" w:hAnsi="Gill Sans MT"/>
          <w:sz w:val="28"/>
          <w:szCs w:val="28"/>
        </w:rPr>
        <w:t xml:space="preserve"> de</w:t>
      </w:r>
      <w:r w:rsidR="002B2A5C">
        <w:rPr>
          <w:rFonts w:ascii="Gill Sans MT" w:hAnsi="Gill Sans MT"/>
          <w:sz w:val="28"/>
          <w:szCs w:val="28"/>
        </w:rPr>
        <w:t xml:space="preserve"> la culture. </w:t>
      </w:r>
    </w:p>
    <w:p w:rsidR="001F435F" w:rsidRDefault="002B2A5C" w:rsidP="002B2A5C">
      <w:pPr>
        <w:pStyle w:val="Paragraphedeliste"/>
        <w:numPr>
          <w:ilvl w:val="0"/>
          <w:numId w:val="9"/>
        </w:numPr>
        <w:rPr>
          <w:rFonts w:ascii="Gill Sans MT" w:hAnsi="Gill Sans MT"/>
          <w:sz w:val="28"/>
          <w:szCs w:val="28"/>
        </w:rPr>
      </w:pPr>
      <w:r>
        <w:rPr>
          <w:rFonts w:ascii="Gill Sans MT" w:hAnsi="Gill Sans MT"/>
          <w:sz w:val="28"/>
          <w:szCs w:val="28"/>
        </w:rPr>
        <w:t>Pays monochrome (USA, GB, Suède) le temps est considéré comme une ressource qu’on ne gaspille pas. Les taches sont décomposées de manière séquentielle et le temps est rigoureusement planifié. Dans ces pays, le retard est mal perçu.</w:t>
      </w:r>
    </w:p>
    <w:p w:rsidR="002B2A5C" w:rsidRPr="00831ED2" w:rsidRDefault="002B2A5C" w:rsidP="002B2A5C">
      <w:pPr>
        <w:pStyle w:val="Paragraphedeliste"/>
        <w:numPr>
          <w:ilvl w:val="0"/>
          <w:numId w:val="9"/>
        </w:numPr>
        <w:rPr>
          <w:rFonts w:ascii="Gill Sans MT" w:hAnsi="Gill Sans MT"/>
          <w:sz w:val="28"/>
          <w:szCs w:val="28"/>
        </w:rPr>
      </w:pPr>
      <w:r>
        <w:rPr>
          <w:rFonts w:ascii="Gill Sans MT" w:hAnsi="Gill Sans MT"/>
          <w:sz w:val="28"/>
          <w:szCs w:val="28"/>
        </w:rPr>
        <w:t>Pays polychrome (Afrique, Asie sauf Japon, peuples latins)</w:t>
      </w:r>
    </w:p>
    <w:p w:rsidR="00831ED2" w:rsidRPr="00831ED2" w:rsidRDefault="00831ED2" w:rsidP="00831ED2">
      <w:pPr>
        <w:rPr>
          <w:rFonts w:ascii="Gill Sans MT" w:hAnsi="Gill Sans MT"/>
          <w:sz w:val="28"/>
          <w:szCs w:val="28"/>
        </w:rPr>
      </w:pPr>
    </w:p>
    <w:sectPr w:rsidR="00831ED2" w:rsidRPr="00831ED2"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16DC"/>
    <w:multiLevelType w:val="hybridMultilevel"/>
    <w:tmpl w:val="3190BA12"/>
    <w:lvl w:ilvl="0" w:tplc="826CDE7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D2354E"/>
    <w:multiLevelType w:val="hybridMultilevel"/>
    <w:tmpl w:val="45B6DBFE"/>
    <w:lvl w:ilvl="0" w:tplc="040C0009">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nsid w:val="239D6FA7"/>
    <w:multiLevelType w:val="hybridMultilevel"/>
    <w:tmpl w:val="599879D0"/>
    <w:lvl w:ilvl="0" w:tplc="826CDE7E">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2440E7"/>
    <w:multiLevelType w:val="hybridMultilevel"/>
    <w:tmpl w:val="F970C378"/>
    <w:lvl w:ilvl="0" w:tplc="B9EE91A6">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966A3B"/>
    <w:multiLevelType w:val="hybridMultilevel"/>
    <w:tmpl w:val="93826C5C"/>
    <w:lvl w:ilvl="0" w:tplc="64CC830A">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733E3E"/>
    <w:multiLevelType w:val="hybridMultilevel"/>
    <w:tmpl w:val="1A0A5B24"/>
    <w:lvl w:ilvl="0" w:tplc="040C0009">
      <w:start w:val="1"/>
      <w:numFmt w:val="bullet"/>
      <w:lvlText w:val=""/>
      <w:lvlJc w:val="left"/>
      <w:pPr>
        <w:ind w:left="2210" w:hanging="360"/>
      </w:pPr>
      <w:rPr>
        <w:rFonts w:ascii="Wingdings" w:hAnsi="Wingdings" w:hint="default"/>
      </w:rPr>
    </w:lvl>
    <w:lvl w:ilvl="1" w:tplc="040C0003" w:tentative="1">
      <w:start w:val="1"/>
      <w:numFmt w:val="bullet"/>
      <w:lvlText w:val="o"/>
      <w:lvlJc w:val="left"/>
      <w:pPr>
        <w:ind w:left="2930" w:hanging="360"/>
      </w:pPr>
      <w:rPr>
        <w:rFonts w:ascii="Courier New" w:hAnsi="Courier New" w:cs="Courier New" w:hint="default"/>
      </w:rPr>
    </w:lvl>
    <w:lvl w:ilvl="2" w:tplc="040C0005" w:tentative="1">
      <w:start w:val="1"/>
      <w:numFmt w:val="bullet"/>
      <w:lvlText w:val=""/>
      <w:lvlJc w:val="left"/>
      <w:pPr>
        <w:ind w:left="3650" w:hanging="360"/>
      </w:pPr>
      <w:rPr>
        <w:rFonts w:ascii="Wingdings" w:hAnsi="Wingdings" w:hint="default"/>
      </w:rPr>
    </w:lvl>
    <w:lvl w:ilvl="3" w:tplc="040C0001" w:tentative="1">
      <w:start w:val="1"/>
      <w:numFmt w:val="bullet"/>
      <w:lvlText w:val=""/>
      <w:lvlJc w:val="left"/>
      <w:pPr>
        <w:ind w:left="4370" w:hanging="360"/>
      </w:pPr>
      <w:rPr>
        <w:rFonts w:ascii="Symbol" w:hAnsi="Symbol" w:hint="default"/>
      </w:rPr>
    </w:lvl>
    <w:lvl w:ilvl="4" w:tplc="040C0003" w:tentative="1">
      <w:start w:val="1"/>
      <w:numFmt w:val="bullet"/>
      <w:lvlText w:val="o"/>
      <w:lvlJc w:val="left"/>
      <w:pPr>
        <w:ind w:left="5090" w:hanging="360"/>
      </w:pPr>
      <w:rPr>
        <w:rFonts w:ascii="Courier New" w:hAnsi="Courier New" w:cs="Courier New" w:hint="default"/>
      </w:rPr>
    </w:lvl>
    <w:lvl w:ilvl="5" w:tplc="040C0005" w:tentative="1">
      <w:start w:val="1"/>
      <w:numFmt w:val="bullet"/>
      <w:lvlText w:val=""/>
      <w:lvlJc w:val="left"/>
      <w:pPr>
        <w:ind w:left="5810" w:hanging="360"/>
      </w:pPr>
      <w:rPr>
        <w:rFonts w:ascii="Wingdings" w:hAnsi="Wingdings" w:hint="default"/>
      </w:rPr>
    </w:lvl>
    <w:lvl w:ilvl="6" w:tplc="040C0001" w:tentative="1">
      <w:start w:val="1"/>
      <w:numFmt w:val="bullet"/>
      <w:lvlText w:val=""/>
      <w:lvlJc w:val="left"/>
      <w:pPr>
        <w:ind w:left="6530" w:hanging="360"/>
      </w:pPr>
      <w:rPr>
        <w:rFonts w:ascii="Symbol" w:hAnsi="Symbol" w:hint="default"/>
      </w:rPr>
    </w:lvl>
    <w:lvl w:ilvl="7" w:tplc="040C0003" w:tentative="1">
      <w:start w:val="1"/>
      <w:numFmt w:val="bullet"/>
      <w:lvlText w:val="o"/>
      <w:lvlJc w:val="left"/>
      <w:pPr>
        <w:ind w:left="7250" w:hanging="360"/>
      </w:pPr>
      <w:rPr>
        <w:rFonts w:ascii="Courier New" w:hAnsi="Courier New" w:cs="Courier New" w:hint="default"/>
      </w:rPr>
    </w:lvl>
    <w:lvl w:ilvl="8" w:tplc="040C0005" w:tentative="1">
      <w:start w:val="1"/>
      <w:numFmt w:val="bullet"/>
      <w:lvlText w:val=""/>
      <w:lvlJc w:val="left"/>
      <w:pPr>
        <w:ind w:left="7970" w:hanging="360"/>
      </w:pPr>
      <w:rPr>
        <w:rFonts w:ascii="Wingdings" w:hAnsi="Wingdings" w:hint="default"/>
      </w:rPr>
    </w:lvl>
  </w:abstractNum>
  <w:abstractNum w:abstractNumId="6">
    <w:nsid w:val="50F91FE8"/>
    <w:multiLevelType w:val="hybridMultilevel"/>
    <w:tmpl w:val="90C2C4D0"/>
    <w:lvl w:ilvl="0" w:tplc="826CDE7E">
      <w:start w:val="1"/>
      <w:numFmt w:val="bullet"/>
      <w:lvlText w:val=""/>
      <w:lvlJc w:val="left"/>
      <w:pPr>
        <w:ind w:left="1440" w:hanging="360"/>
      </w:pPr>
      <w:rPr>
        <w:rFonts w:ascii="Symbol" w:hAnsi="Symbol" w:hint="default"/>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6E4E78A5"/>
    <w:multiLevelType w:val="hybridMultilevel"/>
    <w:tmpl w:val="681A1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C7A15F2"/>
    <w:multiLevelType w:val="hybridMultilevel"/>
    <w:tmpl w:val="2CEE348E"/>
    <w:lvl w:ilvl="0" w:tplc="6FC2E8D6">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0"/>
  </w:num>
  <w:num w:numId="6">
    <w:abstractNumId w:val="6"/>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401402"/>
    <w:rsid w:val="001F435F"/>
    <w:rsid w:val="00264907"/>
    <w:rsid w:val="002838B4"/>
    <w:rsid w:val="002B2A5C"/>
    <w:rsid w:val="00401402"/>
    <w:rsid w:val="00794EA9"/>
    <w:rsid w:val="00831ED2"/>
    <w:rsid w:val="00B55F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14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3</cp:revision>
  <dcterms:created xsi:type="dcterms:W3CDTF">2016-12-05T15:17:00Z</dcterms:created>
  <dcterms:modified xsi:type="dcterms:W3CDTF">2016-12-05T15:58:00Z</dcterms:modified>
</cp:coreProperties>
</file>