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21" w:rsidRDefault="00B25321" w:rsidP="00521D88">
      <w:pPr>
        <w:pStyle w:val="Titre"/>
        <w:jc w:val="center"/>
      </w:pPr>
      <w:bookmarkStart w:id="0" w:name="_GoBack"/>
      <w:bookmarkEnd w:id="0"/>
      <w:r>
        <w:t>TD : Finance</w:t>
      </w:r>
    </w:p>
    <w:p w:rsidR="00502AC6" w:rsidRPr="00502AC6" w:rsidRDefault="00502AC6" w:rsidP="00502AC6"/>
    <w:p w:rsidR="00502AC6" w:rsidRPr="00502AC6" w:rsidRDefault="00502AC6" w:rsidP="00502AC6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02AC6">
        <w:rPr>
          <w:rFonts w:cstheme="minorHAnsi"/>
          <w:sz w:val="24"/>
          <w:szCs w:val="24"/>
          <w:shd w:val="clear" w:color="auto" w:fill="FFFFFF"/>
        </w:rPr>
        <w:t>L’</w:t>
      </w:r>
      <w:r w:rsidRPr="00502AC6">
        <w:rPr>
          <w:rFonts w:cstheme="minorHAnsi"/>
          <w:b/>
          <w:bCs/>
          <w:sz w:val="24"/>
          <w:szCs w:val="24"/>
          <w:shd w:val="clear" w:color="auto" w:fill="FFFFFF"/>
        </w:rPr>
        <w:t>autofinancement constitue donc une source interne de financement</w:t>
      </w:r>
      <w:r w:rsidRPr="00502AC6">
        <w:rPr>
          <w:rFonts w:cstheme="minorHAnsi"/>
          <w:sz w:val="24"/>
          <w:szCs w:val="24"/>
          <w:shd w:val="clear" w:color="auto" w:fill="FFFFFF"/>
        </w:rPr>
        <w:t> par opposition au </w:t>
      </w:r>
      <w:r w:rsidRPr="00502AC6">
        <w:rPr>
          <w:rFonts w:cstheme="minorHAnsi"/>
          <w:b/>
          <w:bCs/>
          <w:sz w:val="24"/>
          <w:szCs w:val="24"/>
          <w:shd w:val="clear" w:color="auto" w:fill="FFFFFF"/>
        </w:rPr>
        <w:t>financement externe désignant l'intervention des banques</w:t>
      </w:r>
      <w:r w:rsidRPr="00502AC6">
        <w:rPr>
          <w:rFonts w:cstheme="minorHAnsi"/>
          <w:sz w:val="24"/>
          <w:szCs w:val="24"/>
          <w:shd w:val="clear" w:color="auto" w:fill="FFFFFF"/>
        </w:rPr>
        <w:t> (crédit bancaire), </w:t>
      </w:r>
      <w:r w:rsidRPr="00502AC6">
        <w:rPr>
          <w:rFonts w:cstheme="minorHAnsi"/>
          <w:b/>
          <w:bCs/>
          <w:sz w:val="24"/>
          <w:szCs w:val="24"/>
          <w:shd w:val="clear" w:color="auto" w:fill="FFFFFF"/>
        </w:rPr>
        <w:t>ou l'émission de titres</w:t>
      </w:r>
      <w:r w:rsidRPr="00502AC6">
        <w:rPr>
          <w:rFonts w:cstheme="minorHAnsi"/>
          <w:sz w:val="24"/>
          <w:szCs w:val="24"/>
          <w:shd w:val="clear" w:color="auto" w:fill="FFFFFF"/>
        </w:rPr>
        <w:t> (des actions ou des obligations par exemple) sur les marchés financiers.</w:t>
      </w:r>
    </w:p>
    <w:p w:rsidR="00502AC6" w:rsidRPr="00502AC6" w:rsidRDefault="00502AC6" w:rsidP="00502AC6">
      <w:pPr>
        <w:jc w:val="both"/>
        <w:rPr>
          <w:rFonts w:cstheme="minorHAnsi"/>
          <w:sz w:val="24"/>
          <w:szCs w:val="24"/>
        </w:rPr>
      </w:pPr>
      <w:r w:rsidRPr="00502AC6">
        <w:rPr>
          <w:rFonts w:cstheme="minorHAnsi"/>
          <w:sz w:val="24"/>
          <w:szCs w:val="24"/>
          <w:shd w:val="clear" w:color="auto" w:fill="FFFFFF"/>
        </w:rPr>
        <w:t xml:space="preserve">La </w:t>
      </w:r>
      <w:r w:rsidRPr="00502AC6">
        <w:rPr>
          <w:rFonts w:cstheme="minorHAnsi"/>
          <w:b/>
          <w:sz w:val="24"/>
          <w:szCs w:val="24"/>
          <w:shd w:val="clear" w:color="auto" w:fill="FFFFFF"/>
        </w:rPr>
        <w:t xml:space="preserve">distribution de dividendes </w:t>
      </w:r>
      <w:r w:rsidRPr="00502AC6">
        <w:rPr>
          <w:rFonts w:cstheme="minorHAnsi"/>
          <w:sz w:val="24"/>
          <w:szCs w:val="24"/>
          <w:shd w:val="clear" w:color="auto" w:fill="FFFFFF"/>
        </w:rPr>
        <w:t>a pour objectif premier de rendre aux actionnaires des fonds qui ne trouvent plus à s'investir dans l'entreprise à un </w:t>
      </w:r>
      <w:hyperlink r:id="rId6" w:anchor="xtor=SEC-3168" w:tooltip="Définition de Taux de rentabilité" w:history="1">
        <w:r w:rsidRPr="00502AC6">
          <w:rPr>
            <w:rStyle w:val="Lienhypertexte"/>
            <w:rFonts w:cstheme="minorHAnsi"/>
            <w:color w:val="auto"/>
            <w:sz w:val="24"/>
            <w:szCs w:val="24"/>
            <w:u w:val="none"/>
          </w:rPr>
          <w:t>taux de rentabilité</w:t>
        </w:r>
      </w:hyperlink>
      <w:r w:rsidRPr="00502AC6">
        <w:rPr>
          <w:rFonts w:cstheme="minorHAnsi"/>
          <w:sz w:val="24"/>
          <w:szCs w:val="24"/>
          <w:shd w:val="clear" w:color="auto" w:fill="FFFFFF"/>
        </w:rPr>
        <w:t> qui correspondent au moins au </w:t>
      </w:r>
      <w:hyperlink r:id="rId7" w:anchor="xtor=SEC-3168" w:tooltip="Définition de Coût du capital" w:history="1">
        <w:r w:rsidRPr="00502AC6">
          <w:rPr>
            <w:rStyle w:val="Lienhypertexte"/>
            <w:rFonts w:cstheme="minorHAnsi"/>
            <w:color w:val="auto"/>
            <w:sz w:val="24"/>
            <w:szCs w:val="24"/>
            <w:u w:val="none"/>
          </w:rPr>
          <w:t>coût du capital</w:t>
        </w:r>
      </w:hyperlink>
      <w:r w:rsidRPr="00502AC6">
        <w:rPr>
          <w:rFonts w:cstheme="minorHAnsi"/>
          <w:sz w:val="24"/>
          <w:szCs w:val="24"/>
          <w:shd w:val="clear" w:color="auto" w:fill="FFFFFF"/>
        </w:rPr>
        <w:t>, évitant ainsi de détruire de la valeur. Des objectifs secondaires peuvent cependant être poursuivis : montrer la bonne santé de l'entreprise, satisfaire les actionnaires, réduire la marge de manœuvre des dirigeants...</w:t>
      </w:r>
    </w:p>
    <w:p w:rsidR="00502AC6" w:rsidRPr="00502AC6" w:rsidRDefault="00502AC6" w:rsidP="00502AC6">
      <w:pPr>
        <w:spacing w:before="225" w:after="225" w:line="240" w:lineRule="auto"/>
        <w:jc w:val="both"/>
        <w:rPr>
          <w:rFonts w:eastAsia="Times New Roman" w:cstheme="minorHAnsi"/>
          <w:color w:val="000000"/>
          <w:sz w:val="24"/>
          <w:szCs w:val="20"/>
          <w:lang w:eastAsia="fr-FR"/>
        </w:rPr>
      </w:pPr>
      <w:r w:rsidRPr="00502AC6">
        <w:rPr>
          <w:rFonts w:eastAsia="Times New Roman" w:cstheme="minorHAnsi"/>
          <w:color w:val="000000"/>
          <w:sz w:val="24"/>
          <w:szCs w:val="20"/>
          <w:lang w:eastAsia="fr-FR"/>
        </w:rPr>
        <w:t>Un capital produit des </w:t>
      </w:r>
      <w:r w:rsidRPr="00502AC6">
        <w:rPr>
          <w:rFonts w:eastAsia="Times New Roman" w:cstheme="minorHAnsi"/>
          <w:b/>
          <w:bCs/>
          <w:color w:val="000000"/>
          <w:sz w:val="24"/>
          <w:szCs w:val="20"/>
          <w:lang w:eastAsia="fr-FR"/>
        </w:rPr>
        <w:t>intérêts simples</w:t>
      </w:r>
      <w:r w:rsidRPr="00502AC6">
        <w:rPr>
          <w:rFonts w:eastAsia="Times New Roman" w:cstheme="minorHAnsi"/>
          <w:color w:val="000000"/>
          <w:sz w:val="24"/>
          <w:szCs w:val="20"/>
          <w:lang w:eastAsia="fr-FR"/>
        </w:rPr>
        <w:t> si les intérêts sont uniquement calculés sur ce capital.</w:t>
      </w:r>
    </w:p>
    <w:p w:rsidR="00502AC6" w:rsidRDefault="00502AC6" w:rsidP="00502AC6">
      <w:pPr>
        <w:spacing w:before="225" w:after="225" w:line="240" w:lineRule="auto"/>
        <w:jc w:val="both"/>
        <w:rPr>
          <w:rFonts w:eastAsia="Times New Roman" w:cstheme="minorHAnsi"/>
          <w:color w:val="000000"/>
          <w:sz w:val="24"/>
          <w:szCs w:val="20"/>
          <w:lang w:eastAsia="fr-FR"/>
        </w:rPr>
      </w:pPr>
      <w:r w:rsidRPr="00502AC6">
        <w:rPr>
          <w:rFonts w:eastAsia="Times New Roman" w:cstheme="minorHAnsi"/>
          <w:color w:val="000000"/>
          <w:sz w:val="24"/>
          <w:szCs w:val="20"/>
          <w:lang w:eastAsia="fr-FR"/>
        </w:rPr>
        <w:t>Un capital produit des </w:t>
      </w:r>
      <w:r w:rsidRPr="00502AC6">
        <w:rPr>
          <w:rFonts w:eastAsia="Times New Roman" w:cstheme="minorHAnsi"/>
          <w:b/>
          <w:bCs/>
          <w:color w:val="000000"/>
          <w:sz w:val="24"/>
          <w:szCs w:val="20"/>
          <w:lang w:eastAsia="fr-FR"/>
        </w:rPr>
        <w:t>intérêts composés</w:t>
      </w:r>
      <w:r w:rsidRPr="00502AC6">
        <w:rPr>
          <w:rFonts w:eastAsia="Times New Roman" w:cstheme="minorHAnsi"/>
          <w:color w:val="000000"/>
          <w:sz w:val="24"/>
          <w:szCs w:val="20"/>
          <w:lang w:eastAsia="fr-FR"/>
        </w:rPr>
        <w:t> si à la fin de chaque période, les intérêts générés sont ajoutés au capital pour produire de nouveaux intérêts. On dit aussi que ces intérêts sont capitalisés.</w:t>
      </w:r>
    </w:p>
    <w:p w:rsidR="00502AC6" w:rsidRPr="00502AC6" w:rsidRDefault="00502AC6" w:rsidP="00D35A66">
      <w:pPr>
        <w:spacing w:before="225" w:after="225" w:line="240" w:lineRule="auto"/>
        <w:jc w:val="both"/>
        <w:rPr>
          <w:rFonts w:eastAsia="Times New Roman" w:cstheme="minorHAnsi"/>
          <w:sz w:val="24"/>
          <w:szCs w:val="20"/>
          <w:lang w:eastAsia="fr-FR"/>
        </w:rPr>
      </w:pPr>
      <w:r w:rsidRPr="00502AC6">
        <w:rPr>
          <w:rFonts w:eastAsia="Times New Roman" w:cstheme="minorHAnsi"/>
          <w:sz w:val="24"/>
          <w:szCs w:val="20"/>
          <w:lang w:eastAsia="fr-FR"/>
        </w:rPr>
        <w:t>Les placements d'une durée inférieure à un an ont généralement des intérêts simples. Le taux annuel est désigné comme le </w:t>
      </w:r>
      <w:r w:rsidRPr="00D35A66">
        <w:rPr>
          <w:rFonts w:eastAsia="Times New Roman" w:cstheme="minorHAnsi"/>
          <w:b/>
          <w:bCs/>
          <w:sz w:val="24"/>
          <w:szCs w:val="20"/>
          <w:lang w:eastAsia="fr-FR"/>
        </w:rPr>
        <w:t>taux nominal</w:t>
      </w:r>
      <w:r w:rsidRPr="00502AC6">
        <w:rPr>
          <w:rFonts w:eastAsia="Times New Roman" w:cstheme="minorHAnsi"/>
          <w:sz w:val="24"/>
          <w:szCs w:val="20"/>
          <w:lang w:eastAsia="fr-FR"/>
        </w:rPr>
        <w:t> ou le </w:t>
      </w:r>
      <w:r w:rsidRPr="00D35A66">
        <w:rPr>
          <w:rFonts w:eastAsia="Times New Roman" w:cstheme="minorHAnsi"/>
          <w:b/>
          <w:bCs/>
          <w:sz w:val="24"/>
          <w:szCs w:val="20"/>
          <w:lang w:eastAsia="fr-FR"/>
        </w:rPr>
        <w:t>taux facial</w:t>
      </w:r>
      <w:r w:rsidRPr="00502AC6">
        <w:rPr>
          <w:rFonts w:eastAsia="Times New Roman" w:cstheme="minorHAnsi"/>
          <w:sz w:val="24"/>
          <w:szCs w:val="20"/>
          <w:lang w:eastAsia="fr-FR"/>
        </w:rPr>
        <w:t>.</w:t>
      </w:r>
    </w:p>
    <w:p w:rsidR="00502AC6" w:rsidRPr="00502AC6" w:rsidRDefault="00502AC6" w:rsidP="00D35A66">
      <w:pPr>
        <w:spacing w:before="225" w:after="225" w:line="240" w:lineRule="auto"/>
        <w:jc w:val="both"/>
        <w:rPr>
          <w:rFonts w:eastAsia="Times New Roman" w:cstheme="minorHAnsi"/>
          <w:sz w:val="24"/>
          <w:szCs w:val="20"/>
          <w:lang w:eastAsia="fr-FR"/>
        </w:rPr>
      </w:pPr>
      <w:r w:rsidRPr="00502AC6">
        <w:rPr>
          <w:rFonts w:eastAsia="Times New Roman" w:cstheme="minorHAnsi"/>
          <w:sz w:val="24"/>
          <w:szCs w:val="20"/>
          <w:lang w:eastAsia="fr-FR"/>
        </w:rPr>
        <w:t>Les intérêts des placements de plus d'un an sont des intérêts composés. Le taux annuel est appelé </w:t>
      </w:r>
      <w:r w:rsidRPr="00D35A66">
        <w:rPr>
          <w:rFonts w:eastAsia="Times New Roman" w:cstheme="minorHAnsi"/>
          <w:b/>
          <w:bCs/>
          <w:sz w:val="24"/>
          <w:szCs w:val="20"/>
          <w:lang w:eastAsia="fr-FR"/>
        </w:rPr>
        <w:t>taux actuariel</w:t>
      </w:r>
      <w:r w:rsidRPr="00502AC6">
        <w:rPr>
          <w:rFonts w:eastAsia="Times New Roman" w:cstheme="minorHAnsi"/>
          <w:sz w:val="24"/>
          <w:szCs w:val="20"/>
          <w:lang w:eastAsia="fr-FR"/>
        </w:rPr>
        <w:t> ou </w:t>
      </w:r>
      <w:r w:rsidRPr="00D35A66">
        <w:rPr>
          <w:rFonts w:eastAsia="Times New Roman" w:cstheme="minorHAnsi"/>
          <w:b/>
          <w:bCs/>
          <w:sz w:val="24"/>
          <w:szCs w:val="20"/>
          <w:lang w:eastAsia="fr-FR"/>
        </w:rPr>
        <w:t>taux équivalent</w:t>
      </w:r>
      <w:r w:rsidRPr="00502AC6">
        <w:rPr>
          <w:rFonts w:eastAsia="Times New Roman" w:cstheme="minorHAnsi"/>
          <w:sz w:val="24"/>
          <w:szCs w:val="20"/>
          <w:lang w:eastAsia="fr-FR"/>
        </w:rPr>
        <w:t>.</w:t>
      </w:r>
    </w:p>
    <w:p w:rsidR="00502AC6" w:rsidRPr="00502AC6" w:rsidRDefault="00502AC6" w:rsidP="00502AC6">
      <w:pPr>
        <w:spacing w:before="225" w:after="225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502AC6">
        <w:rPr>
          <w:rFonts w:cstheme="minorHAnsi"/>
          <w:sz w:val="24"/>
          <w:szCs w:val="24"/>
          <w:shd w:val="clear" w:color="auto" w:fill="FFFFFF"/>
        </w:rPr>
        <w:t>Le </w:t>
      </w:r>
      <w:r w:rsidRPr="00502AC6">
        <w:rPr>
          <w:rStyle w:val="lev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calcul des soldes intermédiaires de gestion</w:t>
      </w:r>
      <w:r w:rsidRPr="00502AC6">
        <w:rPr>
          <w:rFonts w:cstheme="minorHAnsi"/>
          <w:sz w:val="24"/>
          <w:szCs w:val="24"/>
          <w:shd w:val="clear" w:color="auto" w:fill="FFFFFF"/>
        </w:rPr>
        <w:t> s’effectue à partir des mêmes éléments que ceux qui figurent dans le </w:t>
      </w:r>
      <w:hyperlink r:id="rId8" w:tooltip="Le compte de résultat" w:history="1">
        <w:r w:rsidRPr="00502AC6">
          <w:rPr>
            <w:rStyle w:val="Lienhypertexte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compte de résultat</w:t>
        </w:r>
      </w:hyperlink>
      <w:r w:rsidRPr="00502AC6">
        <w:rPr>
          <w:rFonts w:cstheme="minorHAnsi"/>
          <w:sz w:val="24"/>
          <w:szCs w:val="24"/>
          <w:shd w:val="clear" w:color="auto" w:fill="FFFFFF"/>
        </w:rPr>
        <w:t>: les charges et les produits.</w:t>
      </w:r>
    </w:p>
    <w:p w:rsidR="00214BEF" w:rsidRDefault="00214BEF" w:rsidP="00214BEF">
      <w:pPr>
        <w:pStyle w:val="Titre1"/>
        <w:numPr>
          <w:ilvl w:val="0"/>
          <w:numId w:val="2"/>
        </w:numPr>
      </w:pPr>
      <w:r>
        <w:t>Dossier 1</w:t>
      </w:r>
    </w:p>
    <w:p w:rsidR="00B25321" w:rsidRPr="00B25321" w:rsidRDefault="00B25321" w:rsidP="00214BEF">
      <w:pPr>
        <w:pStyle w:val="Titre2"/>
      </w:pPr>
      <w:r>
        <w:t>Constitution du tableau des SIG</w:t>
      </w:r>
    </w:p>
    <w:p w:rsidR="00045ACB" w:rsidRDefault="008033D1">
      <w:r>
        <w:t>Analyse de l’activité, de l’exploitation de l’entreprise</w:t>
      </w:r>
    </w:p>
    <w:p w:rsidR="007B5BD2" w:rsidRDefault="007B5BD2">
      <w:r>
        <w:t>SIG à partir du compte de résultat</w:t>
      </w:r>
    </w:p>
    <w:p w:rsidR="007B5BD2" w:rsidRDefault="007B5BD2">
      <w:r>
        <w:t xml:space="preserve">L’exploitation à partir du bilan </w:t>
      </w:r>
    </w:p>
    <w:p w:rsidR="002B25FD" w:rsidRDefault="002B25FD">
      <w:r>
        <w:t>Marge commerciale = vente de marchandise – coût d’achat des marchandises vendues</w:t>
      </w:r>
    </w:p>
    <w:p w:rsidR="00B25321" w:rsidRDefault="00B25321" w:rsidP="00214BEF">
      <w:pPr>
        <w:pStyle w:val="Titre2"/>
      </w:pPr>
      <w:r>
        <w:t>Détermination de la CAF</w:t>
      </w:r>
    </w:p>
    <w:p w:rsidR="008C4396" w:rsidRDefault="008C4396">
      <w:r>
        <w:t xml:space="preserve">CAF : 291 représente les ressources internes dégagées par l’entreprise qui vont lui </w:t>
      </w:r>
      <w:r w:rsidR="00B07EA2">
        <w:t>permettre</w:t>
      </w:r>
      <w:r>
        <w:t xml:space="preserve"> de rémunérer les associés, rembourser les dettes,…</w:t>
      </w:r>
    </w:p>
    <w:p w:rsidR="00214BEF" w:rsidRDefault="001C5A29" w:rsidP="001C5A29">
      <w:pPr>
        <w:pStyle w:val="Titre1"/>
        <w:numPr>
          <w:ilvl w:val="0"/>
          <w:numId w:val="2"/>
        </w:numPr>
      </w:pPr>
      <w:r>
        <w:t>Dossier 2</w:t>
      </w:r>
    </w:p>
    <w:p w:rsidR="001C5A29" w:rsidRDefault="001C5A29" w:rsidP="001C5A29">
      <w:r>
        <w:t>La Sarl AULIMO fait la fabrication et la commercialisation des fenêtres et des baies vitrées en aluminium. Elle est une société française dont l’exercice comptable coïncide avec l’année civile.</w:t>
      </w:r>
    </w:p>
    <w:p w:rsidR="008818DD" w:rsidRDefault="001C5A29" w:rsidP="008818DD">
      <w:r>
        <w:t>La gérante de la société souhaite connaître la situation financière de son entreprise, elle vous demande d’analyser la situation à partir du bilan fonctionnel de l’entreprise</w:t>
      </w:r>
      <w:r w:rsidR="008818DD">
        <w:t>.</w:t>
      </w:r>
    </w:p>
    <w:p w:rsidR="008818DD" w:rsidRDefault="008818DD" w:rsidP="008818DD">
      <w:pPr>
        <w:pStyle w:val="Sous-titre"/>
      </w:pPr>
      <w:r>
        <w:lastRenderedPageBreak/>
        <w:t>Etablir le bilan fonctionnel de la Sarl AULIMO, en utilisant l’annexe D</w:t>
      </w:r>
    </w:p>
    <w:p w:rsidR="005B4DAC" w:rsidRDefault="005B4DAC" w:rsidP="005B4DAC">
      <w:pPr>
        <w:rPr>
          <w:i/>
        </w:rPr>
      </w:pPr>
      <w:r>
        <w:rPr>
          <w:i/>
        </w:rPr>
        <w:t>Cf. Excel Feuille 3</w:t>
      </w:r>
    </w:p>
    <w:p w:rsidR="00C94109" w:rsidRPr="00C94109" w:rsidRDefault="00C11180" w:rsidP="00C94109">
      <w:pPr>
        <w:pStyle w:val="Sous-titre"/>
      </w:pPr>
      <w:r>
        <w:t xml:space="preserve">Calculer le FRNG, le BFR et la TN. Exprimer </w:t>
      </w:r>
      <w:r w:rsidR="00C7774B">
        <w:t>la relation existante</w:t>
      </w:r>
      <w:r>
        <w:t xml:space="preserve"> entre les indicateurs calculés précédemment</w:t>
      </w:r>
    </w:p>
    <w:p w:rsidR="001D5773" w:rsidRPr="001D5773" w:rsidRDefault="001D5773" w:rsidP="001D5773">
      <w:pPr>
        <w:rPr>
          <w:i/>
        </w:rPr>
      </w:pPr>
      <w:r>
        <w:rPr>
          <w:i/>
        </w:rPr>
        <w:t xml:space="preserve">Cf. </w:t>
      </w:r>
      <w:r w:rsidR="00233183">
        <w:rPr>
          <w:i/>
        </w:rPr>
        <w:t xml:space="preserve">Excel </w:t>
      </w:r>
      <w:r>
        <w:rPr>
          <w:i/>
        </w:rPr>
        <w:t>Feuille 3</w:t>
      </w:r>
    </w:p>
    <w:p w:rsidR="00C11180" w:rsidRPr="00C94109" w:rsidRDefault="00C11180" w:rsidP="00C11180">
      <w:pPr>
        <w:pStyle w:val="Paragraphedeliste"/>
        <w:numPr>
          <w:ilvl w:val="0"/>
          <w:numId w:val="4"/>
        </w:numPr>
      </w:pPr>
      <m:oMath>
        <m:r>
          <w:rPr>
            <w:rFonts w:ascii="Cambria Math" w:hAnsi="Cambria Math"/>
          </w:rPr>
          <m:t>FRNG=Ressources Stables-Emplois Stables</m:t>
        </m:r>
      </m:oMath>
    </w:p>
    <w:p w:rsidR="00C94109" w:rsidRPr="00E0654A" w:rsidRDefault="00C94109" w:rsidP="00C11180">
      <w:pPr>
        <w:pStyle w:val="Paragraphedeliste"/>
        <w:numPr>
          <w:ilvl w:val="0"/>
          <w:numId w:val="4"/>
        </w:numPr>
      </w:pPr>
      <w:r>
        <w:t>FRN</w:t>
      </w:r>
      <w:r w:rsidR="00481575">
        <w:t>G</w:t>
      </w:r>
      <w:r>
        <w:t xml:space="preserve"> = 79 838 – 36788 = 43 050</w:t>
      </w:r>
    </w:p>
    <w:p w:rsidR="00C94109" w:rsidRDefault="00E0654A" w:rsidP="00C94109">
      <w:pPr>
        <w:pStyle w:val="Paragraphedeliste"/>
        <w:numPr>
          <w:ilvl w:val="0"/>
          <w:numId w:val="4"/>
        </w:numPr>
      </w:pPr>
      <m:oMath>
        <m:r>
          <w:rPr>
            <w:rFonts w:ascii="Cambria Math" w:hAnsi="Cambria Math"/>
          </w:rPr>
          <m:t>BFRG=BFRE+BFRHE=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Actif Circulant Exploitation-Passif circulant Exploitation</m:t>
            </m:r>
          </m:e>
        </m:d>
        <m:r>
          <w:rPr>
            <w:rFonts w:ascii="Cambria Math" w:hAnsi="Cambria Math"/>
          </w:rPr>
          <m:t>+(Actif Circulant HE-Passif Circulant HE)</m:t>
        </m:r>
      </m:oMath>
    </w:p>
    <w:p w:rsidR="00C94109" w:rsidRPr="00C94109" w:rsidRDefault="00C94109" w:rsidP="00C94109">
      <w:pPr>
        <w:pStyle w:val="Paragraphedeliste"/>
        <w:numPr>
          <w:ilvl w:val="0"/>
          <w:numId w:val="4"/>
        </w:numPr>
      </w:pPr>
      <m:oMath>
        <m:r>
          <w:rPr>
            <w:rFonts w:ascii="Cambria Math" w:hAnsi="Cambria Math"/>
          </w:rPr>
          <m:t>BFRNG=44 050+0=44 050</m:t>
        </m:r>
      </m:oMath>
    </w:p>
    <w:p w:rsidR="00C94109" w:rsidRPr="003C3ED6" w:rsidRDefault="00C94109" w:rsidP="00C94109">
      <w:pPr>
        <w:pStyle w:val="Paragraphedeliste"/>
        <w:numPr>
          <w:ilvl w:val="0"/>
          <w:numId w:val="4"/>
        </w:numPr>
      </w:pPr>
      <w:r>
        <w:t>TN = Trésorerie active – Trésorerie passive = 5130 – 6130 = -1000</w:t>
      </w:r>
    </w:p>
    <w:p w:rsidR="003C3ED6" w:rsidRDefault="001A0462" w:rsidP="003C3ED6">
      <w:r>
        <w:t>Bilan fonctionnel : analyse d’équilibre financier</w:t>
      </w:r>
    </w:p>
    <w:p w:rsidR="001A0462" w:rsidRDefault="008129D6" w:rsidP="003C3ED6">
      <w:r>
        <w:t>Équilibre</w:t>
      </w:r>
      <w:r w:rsidR="001A0462">
        <w:t xml:space="preserve"> financier n’est pas respecté car la trésorerie est négative</w:t>
      </w:r>
    </w:p>
    <w:p w:rsidR="00C94109" w:rsidRPr="00C94109" w:rsidRDefault="00C94109" w:rsidP="003C3ED6">
      <w:pPr>
        <w:rPr>
          <w:b/>
        </w:rPr>
      </w:pPr>
      <w:r w:rsidRPr="00C94109">
        <w:rPr>
          <w:b/>
        </w:rPr>
        <w:t>Exprimez la relation existant</w:t>
      </w:r>
      <w:r>
        <w:rPr>
          <w:b/>
        </w:rPr>
        <w:t>e</w:t>
      </w:r>
      <w:r w:rsidRPr="00C94109">
        <w:rPr>
          <w:b/>
        </w:rPr>
        <w:t xml:space="preserve"> entre les indicateurs calculés précédemment :</w:t>
      </w:r>
    </w:p>
    <w:p w:rsidR="00012EC2" w:rsidRDefault="00E0654A" w:rsidP="003C3ED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La relation est la suivante : 𝑇𝑟</w:t>
      </w:r>
      <w:r>
        <w:t>é</w:t>
      </w:r>
      <w:r>
        <w:rPr>
          <w:rFonts w:ascii="Cambria Math" w:hAnsi="Cambria Math" w:cs="Cambria Math"/>
        </w:rPr>
        <w:t>𝑠𝑜𝑟𝑒𝑟𝑖𝑒</w:t>
      </w:r>
      <w:r>
        <w:t xml:space="preserve"> </w:t>
      </w:r>
      <w:r>
        <w:rPr>
          <w:rFonts w:ascii="Cambria Math" w:hAnsi="Cambria Math" w:cs="Cambria Math"/>
        </w:rPr>
        <w:t>𝑛𝑒𝑡𝑡𝑒</w:t>
      </w:r>
      <w:r>
        <w:t xml:space="preserve"> = </w:t>
      </w:r>
      <w:r>
        <w:rPr>
          <w:rFonts w:ascii="Cambria Math" w:hAnsi="Cambria Math" w:cs="Cambria Math"/>
        </w:rPr>
        <w:t>𝐹𝑅𝑁𝐺</w:t>
      </w:r>
      <w:r>
        <w:t xml:space="preserve"> </w:t>
      </w:r>
      <w:r w:rsidR="00A06DAF">
        <w:t>–</w:t>
      </w:r>
      <w:r>
        <w:t xml:space="preserve"> </w:t>
      </w:r>
      <w:r>
        <w:rPr>
          <w:rFonts w:ascii="Cambria Math" w:hAnsi="Cambria Math" w:cs="Cambria Math"/>
        </w:rPr>
        <w:t>𝐵𝐹𝑅</w:t>
      </w:r>
    </w:p>
    <w:p w:rsidR="00A06DAF" w:rsidRDefault="00A06DAF" w:rsidP="00A06DAF">
      <w:pPr>
        <w:pStyle w:val="Sous-titre"/>
      </w:pPr>
      <w:r>
        <w:t>Calculer les ratios de couverture des immobilisations et d’indépendance financière de l’entreprise</w:t>
      </w:r>
    </w:p>
    <w:p w:rsidR="00EC08CA" w:rsidRPr="00012EC2" w:rsidRDefault="00EC08CA" w:rsidP="00EC08C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Ratio de couverture des immobilisations=Ressources stables / Valeur des immobilisations brutes </m:t>
          </m:r>
          <m:r>
            <w:rPr>
              <w:rFonts w:ascii="Cambria Math" w:hAnsi="Cambria Math"/>
            </w:rPr>
            <m:t>=2.17</m:t>
          </m:r>
        </m:oMath>
      </m:oMathPara>
    </w:p>
    <w:p w:rsidR="00012EC2" w:rsidRPr="00A4566C" w:rsidRDefault="00012EC2" w:rsidP="00EC08CA">
      <w:pPr>
        <w:rPr>
          <w:rFonts w:eastAsiaTheme="minorEastAsia"/>
        </w:rPr>
      </w:pPr>
      <w:r>
        <w:rPr>
          <w:rFonts w:eastAsiaTheme="minorEastAsia"/>
        </w:rPr>
        <w:tab/>
        <w:t>Ratio = 79 838 / 36 788 = 2.17</w:t>
      </w:r>
    </w:p>
    <w:p w:rsidR="00C85F8B" w:rsidRPr="00C85F8B" w:rsidRDefault="00A4566C" w:rsidP="00EC08C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Ratio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</w:rPr>
            <m:t>indépendance financière=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Emprunts+concours bancaires</m:t>
              </m:r>
            </m:num>
            <m:den>
              <m:r>
                <w:rPr>
                  <w:rFonts w:ascii="Cambria Math" w:hAnsi="Cambria Math"/>
                  <w:color w:val="FF0000"/>
                </w:rPr>
                <m:t>Capitaux propres+amortissements et prov</m:t>
              </m:r>
            </m:den>
          </m:f>
          <m:r>
            <w:rPr>
              <w:rFonts w:ascii="Cambria Math" w:hAnsi="Cambria Math"/>
            </w:rPr>
            <m:t>=0.72</m:t>
          </m:r>
        </m:oMath>
      </m:oMathPara>
    </w:p>
    <w:p w:rsidR="00A4566C" w:rsidRDefault="00C85F8B" w:rsidP="00C85F8B">
      <w:pPr>
        <w:rPr>
          <w:rFonts w:eastAsiaTheme="minorEastAsia"/>
        </w:rPr>
      </w:pPr>
      <w:r>
        <w:rPr>
          <w:rFonts w:eastAsiaTheme="minorEastAsia"/>
        </w:rPr>
        <w:t xml:space="preserve">Les ratios </w:t>
      </w:r>
      <w:r w:rsidR="00F3347D">
        <w:rPr>
          <w:rFonts w:eastAsiaTheme="minorEastAsia"/>
        </w:rPr>
        <w:t>du secteur</w:t>
      </w:r>
      <w:r>
        <w:rPr>
          <w:rFonts w:eastAsiaTheme="minorEastAsia"/>
        </w:rPr>
        <w:t xml:space="preserve"> sont respectivement </w:t>
      </w:r>
      <w:r>
        <w:rPr>
          <w:rFonts w:eastAsiaTheme="minorEastAsia"/>
          <w:b/>
          <w:i/>
        </w:rPr>
        <w:t xml:space="preserve">1.7 </w:t>
      </w:r>
      <w:r>
        <w:rPr>
          <w:rFonts w:eastAsiaTheme="minorEastAsia"/>
        </w:rPr>
        <w:t xml:space="preserve">et </w:t>
      </w:r>
      <w:r>
        <w:rPr>
          <w:rFonts w:eastAsiaTheme="minorEastAsia"/>
          <w:b/>
          <w:i/>
        </w:rPr>
        <w:t>0.72</w:t>
      </w:r>
      <w:r>
        <w:rPr>
          <w:rFonts w:eastAsiaTheme="minorEastAsia"/>
        </w:rPr>
        <w:t xml:space="preserve">. </w:t>
      </w:r>
    </w:p>
    <w:p w:rsidR="00FE42DB" w:rsidRDefault="00FE42DB" w:rsidP="00FE42DB">
      <w:pPr>
        <w:pStyle w:val="Sous-titre"/>
      </w:pPr>
      <w:r>
        <w:t>Commenter la situation financière de l’entreprise</w:t>
      </w:r>
    </w:p>
    <w:p w:rsidR="00FE42DB" w:rsidRDefault="00F3347D" w:rsidP="00FE42DB">
      <w:r>
        <w:t xml:space="preserve">Le BFR est financé, en partie </w:t>
      </w:r>
      <w:r w:rsidR="008B3356">
        <w:t>par des ressources stables, en partie par des concours bancaires ;</w:t>
      </w:r>
    </w:p>
    <w:p w:rsidR="008B3356" w:rsidRDefault="008B3356" w:rsidP="00FE42DB">
      <w:r>
        <w:t>Les ressources stables financent les emplois stables (équilibre financier respecté), ce ratio est bien supérieur à celui du secteur ;</w:t>
      </w:r>
    </w:p>
    <w:p w:rsidR="008B3356" w:rsidRDefault="008B3356" w:rsidP="00FE42DB">
      <w:r>
        <w:t>L’entreprise a encore des possibilités d’endettement, le ratio n’ayant pas atteint 1. Il faut cependant réfléchir avant de s’endetter d’avantage car elle est plus endettée que les entreprises du secteur ;</w:t>
      </w:r>
    </w:p>
    <w:p w:rsidR="008B3356" w:rsidRDefault="008B3356" w:rsidP="00FE42DB">
      <w:r>
        <w:t>La trésorerie nette est négative, on peut augmenter le FRNG (emprunt par exemple) ou diminuer le BFRN qui est probablement excessif et devrait pourvoir être réduit</w:t>
      </w:r>
    </w:p>
    <w:p w:rsidR="00350C89" w:rsidRDefault="00350C89" w:rsidP="00350C89">
      <w:pPr>
        <w:pStyle w:val="Sous-titre"/>
      </w:pPr>
      <w:r>
        <w:t>Solutions réalistes sont envisageables pour disposer de cette machine</w:t>
      </w:r>
    </w:p>
    <w:p w:rsidR="00350C89" w:rsidRDefault="00350C89" w:rsidP="004E61C8">
      <w:pPr>
        <w:pStyle w:val="Paragraphedeliste"/>
        <w:numPr>
          <w:ilvl w:val="0"/>
          <w:numId w:val="5"/>
        </w:numPr>
      </w:pPr>
      <w:r>
        <w:t xml:space="preserve">Louer le matériel ou </w:t>
      </w:r>
      <w:r w:rsidR="004E61C8">
        <w:t>crédit-bail</w:t>
      </w:r>
    </w:p>
    <w:p w:rsidR="00350C89" w:rsidRDefault="00350C89" w:rsidP="004E61C8">
      <w:pPr>
        <w:pStyle w:val="Paragraphedeliste"/>
        <w:numPr>
          <w:ilvl w:val="0"/>
          <w:numId w:val="5"/>
        </w:numPr>
      </w:pPr>
      <w:r>
        <w:t>Augmenter l’autofinancement</w:t>
      </w:r>
    </w:p>
    <w:p w:rsidR="00350C89" w:rsidRDefault="00350C89" w:rsidP="004E61C8">
      <w:pPr>
        <w:pStyle w:val="Paragraphedeliste"/>
        <w:numPr>
          <w:ilvl w:val="0"/>
          <w:numId w:val="5"/>
        </w:numPr>
      </w:pPr>
      <w:r>
        <w:t>Augmenter le capital</w:t>
      </w:r>
    </w:p>
    <w:p w:rsidR="00F34B57" w:rsidRDefault="00F34B57" w:rsidP="00F34B57">
      <w:pPr>
        <w:pStyle w:val="Titre1"/>
        <w:numPr>
          <w:ilvl w:val="0"/>
          <w:numId w:val="2"/>
        </w:numPr>
      </w:pPr>
      <w:r>
        <w:lastRenderedPageBreak/>
        <w:t>Dossier 3</w:t>
      </w:r>
    </w:p>
    <w:p w:rsidR="00F34B57" w:rsidRDefault="00F34B57" w:rsidP="0051011B">
      <w:pPr>
        <w:ind w:firstLine="360"/>
      </w:pPr>
      <w:r>
        <w:t xml:space="preserve">Une entreprise souhaite </w:t>
      </w:r>
      <w:r w:rsidR="00384DB2">
        <w:t>réaliser</w:t>
      </w:r>
      <w:r>
        <w:t xml:space="preserve"> un investissement de 500000€ pour renouveler son matériel. Les flux nets prévisionnels (FNT) sur cinq années sont les suivantes : 100.000€, 40.000€, 70.000€, 200.000€ et 360.000€. Le taux d’actualisation à retenir est de 12%</w:t>
      </w:r>
    </w:p>
    <w:p w:rsidR="005741E8" w:rsidRDefault="005741E8" w:rsidP="005741E8">
      <w:pPr>
        <w:pStyle w:val="Sous-titre"/>
      </w:pPr>
      <w:r>
        <w:t>Calculer la VAN de cet investissement</w:t>
      </w:r>
    </w:p>
    <w:p w:rsidR="005741E8" w:rsidRPr="00DE6443" w:rsidRDefault="00DE6443" w:rsidP="005741E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VAN= -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FNT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=2375.37</m:t>
          </m:r>
        </m:oMath>
      </m:oMathPara>
    </w:p>
    <w:p w:rsidR="00212364" w:rsidRPr="0039166C" w:rsidRDefault="00212364" w:rsidP="005741E8">
      <w:pPr>
        <w:rPr>
          <w:rFonts w:eastAsiaTheme="minorEastAsia"/>
        </w:rPr>
      </w:pPr>
      <w:r>
        <w:rPr>
          <w:rFonts w:eastAsiaTheme="minorEastAsia"/>
        </w:rPr>
        <w:t>Si la VAN n’est pas nulle il faut ajouter cette valeur à celle de la dernière année avant d’actualiser.</w:t>
      </w:r>
    </w:p>
    <w:p w:rsidR="0039166C" w:rsidRDefault="0039166C" w:rsidP="0039166C">
      <w:pPr>
        <w:pStyle w:val="Sous-titre"/>
      </w:pPr>
      <w:r>
        <w:t>Calculer le TIR (retenir un taux d’encadrement entre 12% et 15%)</w:t>
      </w:r>
    </w:p>
    <w:p w:rsidR="000B06FA" w:rsidRPr="000B06FA" w:rsidRDefault="000F37B1" w:rsidP="000B06FA">
      <w:r>
        <w:rPr>
          <w:b/>
          <w:i/>
        </w:rPr>
        <w:t>TR</w:t>
      </w:r>
      <w:r w:rsidR="00060C33">
        <w:rPr>
          <w:b/>
          <w:i/>
        </w:rPr>
        <w:t>I</w:t>
      </w:r>
      <w:r>
        <w:rPr>
          <w:b/>
          <w:i/>
        </w:rPr>
        <w:t xml:space="preserve"> : </w:t>
      </w:r>
      <w:r w:rsidR="000B06FA">
        <w:t>Taux d’actualisation qui annule la VAN</w:t>
      </w:r>
      <w:r>
        <w:t>.</w:t>
      </w:r>
    </w:p>
    <w:p w:rsidR="0039166C" w:rsidRPr="0039166C" w:rsidRDefault="00A2294C" w:rsidP="0039166C">
      <m:oMathPara>
        <m:oMath>
          <m:r>
            <w:rPr>
              <w:rFonts w:ascii="Cambria Math" w:hAnsi="Cambria Math"/>
            </w:rPr>
            <m:t>VAN=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1+TRI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384DB2" w:rsidRDefault="009025FC" w:rsidP="00F34B57">
      <w:r>
        <w:t xml:space="preserve">On utilise la technique </w:t>
      </w:r>
      <w:r>
        <w:rPr>
          <w:b/>
          <w:i/>
        </w:rPr>
        <w:t>d’interpolation</w:t>
      </w:r>
      <w:r>
        <w:t>.</w:t>
      </w:r>
      <w:r w:rsidR="00735A48">
        <w:t xml:space="preserve"> Il suffit d’encadrer le TRI entre des </w:t>
      </w:r>
      <w:r w:rsidR="00735A48">
        <w:rPr>
          <w:i/>
        </w:rPr>
        <w:t>taux</w:t>
      </w:r>
      <w:r w:rsidR="00EE6C08"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134"/>
      </w:tblGrid>
      <w:tr w:rsidR="00353E1D" w:rsidTr="00E82544">
        <w:trPr>
          <w:jc w:val="center"/>
        </w:trPr>
        <w:tc>
          <w:tcPr>
            <w:tcW w:w="846" w:type="dxa"/>
          </w:tcPr>
          <w:p w:rsidR="00353E1D" w:rsidRDefault="00353E1D" w:rsidP="00F34B57">
            <w:r>
              <w:t>12%</w:t>
            </w:r>
          </w:p>
        </w:tc>
        <w:tc>
          <w:tcPr>
            <w:tcW w:w="1134" w:type="dxa"/>
          </w:tcPr>
          <w:p w:rsidR="00353E1D" w:rsidRDefault="00353E1D" w:rsidP="00F34B57">
            <w:r>
              <w:t>2375.37</w:t>
            </w:r>
          </w:p>
        </w:tc>
      </w:tr>
      <w:tr w:rsidR="00353E1D" w:rsidTr="00E82544">
        <w:trPr>
          <w:jc w:val="center"/>
        </w:trPr>
        <w:tc>
          <w:tcPr>
            <w:tcW w:w="846" w:type="dxa"/>
          </w:tcPr>
          <w:p w:rsidR="00353E1D" w:rsidRDefault="00353E1D" w:rsidP="00F34B57">
            <w:r>
              <w:t>TRI</w:t>
            </w:r>
          </w:p>
        </w:tc>
        <w:tc>
          <w:tcPr>
            <w:tcW w:w="1134" w:type="dxa"/>
          </w:tcPr>
          <w:p w:rsidR="00353E1D" w:rsidRDefault="00353E1D" w:rsidP="00F34B57">
            <w:r>
              <w:t>0</w:t>
            </w:r>
          </w:p>
        </w:tc>
      </w:tr>
      <w:tr w:rsidR="00353E1D" w:rsidTr="00E82544">
        <w:trPr>
          <w:jc w:val="center"/>
        </w:trPr>
        <w:tc>
          <w:tcPr>
            <w:tcW w:w="846" w:type="dxa"/>
          </w:tcPr>
          <w:p w:rsidR="00353E1D" w:rsidRDefault="00353E1D" w:rsidP="00F34B57">
            <w:r>
              <w:t>15%</w:t>
            </w:r>
          </w:p>
        </w:tc>
        <w:tc>
          <w:tcPr>
            <w:tcW w:w="1134" w:type="dxa"/>
          </w:tcPr>
          <w:p w:rsidR="00353E1D" w:rsidRDefault="00353E1D" w:rsidP="00E659C8">
            <w:r>
              <w:t>-43437.32</w:t>
            </w:r>
          </w:p>
        </w:tc>
      </w:tr>
    </w:tbl>
    <w:p w:rsidR="00E82544" w:rsidRPr="00E82544" w:rsidRDefault="00521D88" w:rsidP="00F34B5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12-15</m:t>
              </m:r>
            </m:e>
          </m:d>
          <m:r>
            <w:rPr>
              <w:rFonts w:ascii="Cambria Math" w:hAnsi="Cambria Math"/>
            </w:rPr>
            <m:t>=2375.37-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-43437.32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TRI-12=0-2375.37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-3*-2375.37=45812.69*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TRI-12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7126.11=45812.69 TRI-549752.28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-TRI=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-549752.28-7126.11</m:t>
              </m:r>
            </m:num>
            <m:den>
              <m:r>
                <w:rPr>
                  <w:rFonts w:ascii="Cambria Math" w:eastAsiaTheme="minorEastAsia" w:hAnsi="Cambria Math"/>
                </w:rPr>
                <m:t>45812.69</m:t>
              </m:r>
            </m:den>
          </m:f>
        </m:oMath>
      </m:oMathPara>
    </w:p>
    <w:p w:rsidR="00353E1D" w:rsidRPr="00EE6C08" w:rsidRDefault="00E82544" w:rsidP="00F34B57">
      <w:r>
        <w:t>TRI = 12.16%</w:t>
      </w:r>
    </w:p>
    <w:p w:rsidR="00350C89" w:rsidRDefault="00E82544" w:rsidP="00E82544">
      <w:pPr>
        <w:pStyle w:val="Sous-titre"/>
      </w:pPr>
      <w:r>
        <w:t>Calculer le délai de récupération (</w:t>
      </w:r>
      <w:proofErr w:type="spellStart"/>
      <w:r>
        <w:t>DRa</w:t>
      </w:r>
      <w:proofErr w:type="spellEnd"/>
      <w:r>
        <w:t>)</w:t>
      </w:r>
    </w:p>
    <w:p w:rsidR="003D38E6" w:rsidRDefault="003D38E6" w:rsidP="003D38E6">
      <w:r>
        <w:t>Période au bout de laquelle on récupère l’investissement initial, là où le projet commence à être rentable</w:t>
      </w:r>
    </w:p>
    <w:p w:rsidR="00421805" w:rsidRDefault="00421805" w:rsidP="00421805">
      <w:pPr>
        <w:pStyle w:val="Sous-titre"/>
      </w:pPr>
      <w:r>
        <w:t>Calculer l’indice de profitabilité</w:t>
      </w:r>
    </w:p>
    <w:p w:rsidR="00421805" w:rsidRDefault="00D46AA3" w:rsidP="00421805">
      <w:pPr>
        <w:rPr>
          <w:rFonts w:eastAsiaTheme="minorEastAsia"/>
        </w:rPr>
      </w:pPr>
      <w:r>
        <w:t xml:space="preserve">L’indice de profitabilité est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500000+502375.37</m:t>
            </m:r>
          </m:num>
          <m:den>
            <m:r>
              <w:rPr>
                <w:rFonts w:ascii="Cambria Math" w:hAnsi="Cambria Math"/>
              </w:rPr>
              <m:t>500000</m:t>
            </m:r>
          </m:den>
        </m:f>
        <m:r>
          <w:rPr>
            <w:rFonts w:ascii="Cambria Math" w:hAnsi="Cambria Math"/>
          </w:rPr>
          <m:t>=1.005</m:t>
        </m:r>
      </m:oMath>
    </w:p>
    <w:p w:rsidR="00F44D39" w:rsidRDefault="006B5AD5" w:rsidP="00421805">
      <w:pPr>
        <w:rPr>
          <w:rFonts w:eastAsiaTheme="minorEastAsia"/>
        </w:rPr>
      </w:pPr>
      <w:r>
        <w:rPr>
          <w:rFonts w:eastAsiaTheme="minorEastAsia"/>
        </w:rPr>
        <w:t>L’I</w:t>
      </w:r>
      <w:r>
        <w:rPr>
          <w:rFonts w:eastAsiaTheme="minorEastAsia"/>
          <w:vertAlign w:val="subscript"/>
        </w:rPr>
        <w:t>P</w:t>
      </w:r>
      <w:r w:rsidR="00F44D39">
        <w:rPr>
          <w:rFonts w:eastAsiaTheme="minorEastAsia"/>
        </w:rPr>
        <w:t xml:space="preserve"> est </w:t>
      </w:r>
      <w:r>
        <w:rPr>
          <w:rFonts w:eastAsiaTheme="minorEastAsia"/>
        </w:rPr>
        <w:t>légèrement</w:t>
      </w:r>
      <w:r w:rsidR="00F44D39">
        <w:rPr>
          <w:rFonts w:eastAsiaTheme="minorEastAsia"/>
        </w:rPr>
        <w:t xml:space="preserve"> supérieur à 1 donc l’investissement est rentable</w:t>
      </w:r>
    </w:p>
    <w:p w:rsidR="00F44D39" w:rsidRDefault="00F44D39" w:rsidP="00F44D39">
      <w:pPr>
        <w:pStyle w:val="Sous-titre"/>
      </w:pPr>
      <w:r>
        <w:t>Faut-il retenir le projet ?</w:t>
      </w:r>
    </w:p>
    <w:p w:rsidR="002B5B90" w:rsidRDefault="00F44D39" w:rsidP="00F44D39">
      <w:r>
        <w:t xml:space="preserve">La VAN est </w:t>
      </w:r>
      <w:r w:rsidR="0005033C">
        <w:t>positif</w:t>
      </w:r>
      <w:r>
        <w:t xml:space="preserve"> comme l’indice de profitabilité. De plus le projet est récupéré avant le délai (DR) de 5 </w:t>
      </w:r>
      <w:r w:rsidR="0005033C">
        <w:t>années</w:t>
      </w:r>
      <w:r>
        <w:t xml:space="preserve"> et le taux interne de rentabilité (TIR) est supérieur à celui de la VAN. Il faut donc retenir le projet</w:t>
      </w:r>
    </w:p>
    <w:p w:rsidR="002B5B90" w:rsidRDefault="002B5B90" w:rsidP="002B5B90">
      <w:pPr>
        <w:pStyle w:val="Titre1"/>
      </w:pPr>
      <w:r>
        <w:t xml:space="preserve">Cas 2 : Société </w:t>
      </w:r>
      <w:proofErr w:type="spellStart"/>
      <w:r>
        <w:t>durand</w:t>
      </w:r>
      <w:proofErr w:type="spellEnd"/>
    </w:p>
    <w:p w:rsidR="0029333A" w:rsidRPr="0029333A" w:rsidRDefault="0029333A" w:rsidP="0029333A">
      <w:pPr>
        <w:rPr>
          <w:b/>
        </w:rPr>
      </w:pPr>
      <w:r>
        <w:rPr>
          <w:b/>
        </w:rPr>
        <w:t>Voir Tableur Feuille 5</w:t>
      </w:r>
    </w:p>
    <w:p w:rsidR="002B5B90" w:rsidRDefault="002B5B90" w:rsidP="002B5B90">
      <w:r>
        <w:t>Budget total : 2 000 000 € (à repartir)</w:t>
      </w:r>
    </w:p>
    <w:p w:rsidR="00B14DDD" w:rsidRDefault="00B14DDD" w:rsidP="00B14DDD"/>
    <w:p w:rsidR="00B14DDD" w:rsidRPr="000B403C" w:rsidRDefault="00B14DDD" w:rsidP="00B14DDD">
      <w:pPr>
        <w:rPr>
          <w:b/>
          <w:color w:val="FF0000"/>
          <w:sz w:val="28"/>
        </w:rPr>
      </w:pPr>
      <w:r>
        <w:rPr>
          <w:b/>
        </w:rPr>
        <w:t xml:space="preserve">Capitalisation :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</w:rPr>
          <m:t>=C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</w:rPr>
          <m:t>×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1+ⅈ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ⅈ</m:t>
            </m:r>
          </m:den>
        </m:f>
      </m:oMath>
    </w:p>
    <w:p w:rsidR="00B14DDD" w:rsidRDefault="00B14DDD" w:rsidP="00B14DDD">
      <w:pPr>
        <w:rPr>
          <w:b/>
        </w:rPr>
      </w:pPr>
    </w:p>
    <w:p w:rsidR="00B14DDD" w:rsidRDefault="00B14DDD" w:rsidP="00B14DDD">
      <w:pPr>
        <w:rPr>
          <w:rFonts w:eastAsiaTheme="minorEastAsia"/>
          <w:b/>
          <w:color w:val="FF0000"/>
          <w:sz w:val="28"/>
        </w:rPr>
      </w:pPr>
      <w:r>
        <w:rPr>
          <w:b/>
        </w:rPr>
        <w:t xml:space="preserve">Actualisation :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</w:rPr>
          <m:t>=C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</w:rPr>
          <m:t>×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1+ⅈ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-n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ⅈ</m:t>
            </m:r>
          </m:den>
        </m:f>
      </m:oMath>
    </w:p>
    <w:p w:rsidR="00B14DDD" w:rsidRDefault="00B14DDD" w:rsidP="002B5B90"/>
    <w:p w:rsidR="00997B3B" w:rsidRPr="00C81611" w:rsidRDefault="00C81611" w:rsidP="002B5B90">
      <w:pPr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VAN= -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CFt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VR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den>
          </m:f>
        </m:oMath>
      </m:oMathPara>
    </w:p>
    <w:p w:rsidR="00997B3B" w:rsidRDefault="00997B3B" w:rsidP="00C81611">
      <w:pPr>
        <w:jc w:val="center"/>
        <w:rPr>
          <w:b/>
        </w:rPr>
      </w:pPr>
    </w:p>
    <w:p w:rsidR="00C81611" w:rsidRPr="0029333A" w:rsidRDefault="00C81611" w:rsidP="00C81611">
      <w:pPr>
        <w:spacing w:line="240" w:lineRule="auto"/>
        <w:rPr>
          <w:sz w:val="24"/>
          <w:szCs w:val="24"/>
        </w:rPr>
      </w:pPr>
      <w:r w:rsidRPr="0029333A">
        <w:rPr>
          <w:sz w:val="24"/>
          <w:szCs w:val="24"/>
        </w:rPr>
        <w:t>Ici, VR est négligeable donc VR = 0.</w:t>
      </w:r>
    </w:p>
    <w:p w:rsidR="00C81611" w:rsidRPr="0029333A" w:rsidRDefault="00C81611" w:rsidP="00C81611">
      <w:pPr>
        <w:spacing w:line="240" w:lineRule="auto"/>
        <w:rPr>
          <w:sz w:val="24"/>
          <w:szCs w:val="24"/>
        </w:rPr>
      </w:pPr>
      <w:r w:rsidRPr="0029333A">
        <w:rPr>
          <w:color w:val="4472C4" w:themeColor="accent5"/>
          <w:sz w:val="24"/>
          <w:szCs w:val="24"/>
        </w:rPr>
        <w:t>I</w:t>
      </w:r>
      <w:r w:rsidRPr="0029333A">
        <w:rPr>
          <w:color w:val="4472C4" w:themeColor="accent5"/>
          <w:sz w:val="24"/>
          <w:szCs w:val="24"/>
          <w:vertAlign w:val="subscript"/>
        </w:rPr>
        <w:t>0</w:t>
      </w:r>
      <w:r w:rsidRPr="0029333A">
        <w:rPr>
          <w:sz w:val="24"/>
          <w:szCs w:val="24"/>
        </w:rPr>
        <w:t xml:space="preserve"> = Dépense initiale</w:t>
      </w:r>
    </w:p>
    <w:p w:rsidR="00C81611" w:rsidRPr="0029333A" w:rsidRDefault="00C81611" w:rsidP="00C81611">
      <w:pPr>
        <w:spacing w:line="240" w:lineRule="auto"/>
        <w:rPr>
          <w:sz w:val="24"/>
          <w:szCs w:val="24"/>
        </w:rPr>
      </w:pPr>
      <w:r w:rsidRPr="0029333A">
        <w:rPr>
          <w:sz w:val="24"/>
          <w:szCs w:val="24"/>
        </w:rPr>
        <w:t xml:space="preserve">On raisonne en </w:t>
      </w:r>
      <w:proofErr w:type="spellStart"/>
      <w:r w:rsidRPr="0029333A">
        <w:rPr>
          <w:sz w:val="24"/>
          <w:szCs w:val="24"/>
        </w:rPr>
        <w:t>kiloEuro</w:t>
      </w:r>
      <w:proofErr w:type="spellEnd"/>
      <w:r w:rsidRPr="0029333A">
        <w:rPr>
          <w:sz w:val="24"/>
          <w:szCs w:val="24"/>
        </w:rPr>
        <w:t>.</w:t>
      </w:r>
    </w:p>
    <w:p w:rsidR="00C81611" w:rsidRPr="0029333A" w:rsidRDefault="00C81611" w:rsidP="00C81611">
      <w:pPr>
        <w:spacing w:line="240" w:lineRule="auto"/>
        <w:rPr>
          <w:sz w:val="24"/>
          <w:szCs w:val="24"/>
        </w:rPr>
      </w:pPr>
      <w:r w:rsidRPr="0029333A">
        <w:rPr>
          <w:color w:val="ED7D31" w:themeColor="accent2"/>
          <w:sz w:val="24"/>
          <w:szCs w:val="24"/>
        </w:rPr>
        <w:t>CF</w:t>
      </w:r>
      <w:r w:rsidRPr="0029333A">
        <w:rPr>
          <w:color w:val="ED7D31" w:themeColor="accent2"/>
          <w:sz w:val="24"/>
          <w:szCs w:val="24"/>
          <w:vertAlign w:val="subscript"/>
        </w:rPr>
        <w:t>t</w:t>
      </w:r>
      <w:r w:rsidRPr="0029333A">
        <w:rPr>
          <w:sz w:val="24"/>
          <w:szCs w:val="24"/>
        </w:rPr>
        <w:t xml:space="preserve"> = </w:t>
      </w:r>
      <w:proofErr w:type="spellStart"/>
      <w:r w:rsidRPr="0029333A">
        <w:rPr>
          <w:sz w:val="24"/>
          <w:szCs w:val="24"/>
        </w:rPr>
        <w:t>CashFlow</w:t>
      </w:r>
      <w:proofErr w:type="spellEnd"/>
    </w:p>
    <w:p w:rsidR="00C81611" w:rsidRPr="0029333A" w:rsidRDefault="00097034" w:rsidP="00C81611">
      <w:pPr>
        <w:spacing w:line="240" w:lineRule="auto"/>
        <w:rPr>
          <w:sz w:val="24"/>
          <w:szCs w:val="24"/>
        </w:rPr>
      </w:pPr>
      <w:proofErr w:type="gramStart"/>
      <w:r w:rsidRPr="0029333A">
        <w:rPr>
          <w:color w:val="A5A5A5" w:themeColor="accent3"/>
          <w:sz w:val="24"/>
          <w:szCs w:val="24"/>
        </w:rPr>
        <w:t>i</w:t>
      </w:r>
      <w:proofErr w:type="gramEnd"/>
      <w:r w:rsidR="00C81611" w:rsidRPr="0029333A">
        <w:rPr>
          <w:sz w:val="24"/>
          <w:szCs w:val="24"/>
        </w:rPr>
        <w:t xml:space="preserve"> = Taux d’actualisation = 10% = 0.1</w:t>
      </w:r>
    </w:p>
    <w:p w:rsidR="00C81611" w:rsidRPr="0029333A" w:rsidRDefault="00C81611" w:rsidP="00C81611">
      <w:pPr>
        <w:rPr>
          <w:sz w:val="24"/>
          <w:szCs w:val="24"/>
        </w:rPr>
      </w:pPr>
      <w:r w:rsidRPr="0029333A">
        <w:rPr>
          <w:color w:val="FF0000"/>
          <w:sz w:val="24"/>
          <w:szCs w:val="24"/>
        </w:rPr>
        <w:t>Sur 5 ans </w:t>
      </w:r>
      <w:r w:rsidRPr="0029333A">
        <w:rPr>
          <w:sz w:val="24"/>
          <w:szCs w:val="24"/>
        </w:rPr>
        <w:t xml:space="preserve">: </w:t>
      </w:r>
    </w:p>
    <w:p w:rsidR="00C81611" w:rsidRPr="0029333A" w:rsidRDefault="00C81611" w:rsidP="00C81611">
      <w:pPr>
        <w:rPr>
          <w:color w:val="FF0000"/>
          <w:sz w:val="24"/>
          <w:szCs w:val="24"/>
          <w:vertAlign w:val="superscript"/>
        </w:rPr>
      </w:pPr>
      <w:r w:rsidRPr="0029333A">
        <w:rPr>
          <w:b/>
          <w:sz w:val="24"/>
          <w:szCs w:val="24"/>
        </w:rPr>
        <w:t>VAN</w:t>
      </w:r>
      <w:r w:rsidRPr="0029333A">
        <w:rPr>
          <w:sz w:val="24"/>
          <w:szCs w:val="24"/>
        </w:rPr>
        <w:t xml:space="preserve"> = </w:t>
      </w:r>
      <w:r w:rsidRPr="0029333A">
        <w:rPr>
          <w:color w:val="4472C4" w:themeColor="accent5"/>
          <w:sz w:val="24"/>
          <w:szCs w:val="24"/>
        </w:rPr>
        <w:t xml:space="preserve">- 500 </w:t>
      </w:r>
      <w:r w:rsidRPr="0029333A">
        <w:rPr>
          <w:sz w:val="24"/>
          <w:szCs w:val="24"/>
        </w:rPr>
        <w:t xml:space="preserve">+ </w:t>
      </w:r>
      <w:r w:rsidRPr="0029333A">
        <w:rPr>
          <w:color w:val="ED7D31" w:themeColor="accent2"/>
          <w:sz w:val="24"/>
          <w:szCs w:val="24"/>
        </w:rPr>
        <w:t>300</w:t>
      </w:r>
      <w:r w:rsidRPr="0029333A">
        <w:rPr>
          <w:sz w:val="24"/>
          <w:szCs w:val="24"/>
        </w:rPr>
        <w:t xml:space="preserve"> * (</w:t>
      </w:r>
      <w:r w:rsidR="00097034" w:rsidRPr="0029333A">
        <w:rPr>
          <w:sz w:val="24"/>
          <w:szCs w:val="24"/>
        </w:rPr>
        <w:t xml:space="preserve">1 + </w:t>
      </w:r>
      <w:r w:rsidR="00097034" w:rsidRPr="0029333A">
        <w:rPr>
          <w:color w:val="A5A5A5" w:themeColor="accent3"/>
          <w:sz w:val="24"/>
          <w:szCs w:val="24"/>
        </w:rPr>
        <w:t>0</w:t>
      </w:r>
      <w:r w:rsidRPr="0029333A">
        <w:rPr>
          <w:color w:val="A5A5A5" w:themeColor="accent3"/>
          <w:sz w:val="24"/>
          <w:szCs w:val="24"/>
        </w:rPr>
        <w:t>.1</w:t>
      </w:r>
      <w:r w:rsidRPr="0029333A">
        <w:rPr>
          <w:sz w:val="24"/>
          <w:szCs w:val="24"/>
        </w:rPr>
        <w:t>)</w:t>
      </w:r>
      <w:r w:rsidRPr="0029333A">
        <w:rPr>
          <w:color w:val="FF0000"/>
          <w:sz w:val="24"/>
          <w:szCs w:val="24"/>
          <w:vertAlign w:val="superscript"/>
        </w:rPr>
        <w:t>-1</w:t>
      </w:r>
      <w:r w:rsidRPr="0029333A">
        <w:rPr>
          <w:color w:val="FF0000"/>
          <w:sz w:val="24"/>
          <w:szCs w:val="24"/>
        </w:rPr>
        <w:t xml:space="preserve"> </w:t>
      </w:r>
      <w:r w:rsidRPr="0029333A">
        <w:rPr>
          <w:sz w:val="24"/>
          <w:szCs w:val="24"/>
        </w:rPr>
        <w:t xml:space="preserve">+ </w:t>
      </w:r>
      <w:r w:rsidR="00097034" w:rsidRPr="0029333A">
        <w:rPr>
          <w:color w:val="ED7D31" w:themeColor="accent2"/>
          <w:sz w:val="24"/>
          <w:szCs w:val="24"/>
        </w:rPr>
        <w:t>300</w:t>
      </w:r>
      <w:r w:rsidRPr="0029333A">
        <w:rPr>
          <w:sz w:val="24"/>
          <w:szCs w:val="24"/>
        </w:rPr>
        <w:t xml:space="preserve"> * (1.1)</w:t>
      </w:r>
      <w:r w:rsidRPr="0029333A">
        <w:rPr>
          <w:color w:val="FF0000"/>
          <w:sz w:val="24"/>
          <w:szCs w:val="24"/>
          <w:vertAlign w:val="superscript"/>
        </w:rPr>
        <w:t>-2</w:t>
      </w:r>
      <w:r w:rsidRPr="0029333A">
        <w:rPr>
          <w:sz w:val="24"/>
          <w:szCs w:val="24"/>
          <w:vertAlign w:val="superscript"/>
        </w:rPr>
        <w:t xml:space="preserve"> </w:t>
      </w:r>
      <w:r w:rsidRPr="0029333A">
        <w:rPr>
          <w:sz w:val="24"/>
          <w:szCs w:val="24"/>
        </w:rPr>
        <w:t xml:space="preserve">+ </w:t>
      </w:r>
      <w:r w:rsidR="00097034" w:rsidRPr="0029333A">
        <w:rPr>
          <w:color w:val="ED7D31" w:themeColor="accent2"/>
          <w:sz w:val="24"/>
          <w:szCs w:val="24"/>
        </w:rPr>
        <w:t>300</w:t>
      </w:r>
      <w:r w:rsidRPr="0029333A">
        <w:rPr>
          <w:sz w:val="24"/>
          <w:szCs w:val="24"/>
        </w:rPr>
        <w:t xml:space="preserve"> * (1.1)</w:t>
      </w:r>
      <w:r w:rsidRPr="0029333A">
        <w:rPr>
          <w:color w:val="FF0000"/>
          <w:sz w:val="24"/>
          <w:szCs w:val="24"/>
          <w:vertAlign w:val="superscript"/>
        </w:rPr>
        <w:t>-3</w:t>
      </w:r>
      <w:r w:rsidRPr="0029333A">
        <w:rPr>
          <w:sz w:val="24"/>
          <w:szCs w:val="24"/>
        </w:rPr>
        <w:t xml:space="preserve"> + + </w:t>
      </w:r>
      <w:r w:rsidR="00097034" w:rsidRPr="0029333A">
        <w:rPr>
          <w:color w:val="ED7D31" w:themeColor="accent2"/>
          <w:sz w:val="24"/>
          <w:szCs w:val="24"/>
        </w:rPr>
        <w:t>300</w:t>
      </w:r>
      <w:r w:rsidRPr="0029333A">
        <w:rPr>
          <w:sz w:val="24"/>
          <w:szCs w:val="24"/>
        </w:rPr>
        <w:t xml:space="preserve"> * (1.1)</w:t>
      </w:r>
      <w:r w:rsidRPr="0029333A">
        <w:rPr>
          <w:color w:val="FF0000"/>
          <w:sz w:val="24"/>
          <w:szCs w:val="24"/>
          <w:vertAlign w:val="superscript"/>
        </w:rPr>
        <w:t>-4</w:t>
      </w:r>
      <w:r w:rsidRPr="0029333A">
        <w:rPr>
          <w:sz w:val="24"/>
          <w:szCs w:val="24"/>
        </w:rPr>
        <w:t xml:space="preserve"> +</w:t>
      </w:r>
      <w:r w:rsidR="00097034" w:rsidRPr="0029333A">
        <w:rPr>
          <w:sz w:val="24"/>
          <w:szCs w:val="24"/>
        </w:rPr>
        <w:t xml:space="preserve"> </w:t>
      </w:r>
      <w:r w:rsidR="00097034" w:rsidRPr="0029333A">
        <w:rPr>
          <w:color w:val="ED7D31" w:themeColor="accent2"/>
          <w:sz w:val="24"/>
          <w:szCs w:val="24"/>
        </w:rPr>
        <w:t xml:space="preserve">300 </w:t>
      </w:r>
      <w:r w:rsidRPr="0029333A">
        <w:rPr>
          <w:sz w:val="24"/>
          <w:szCs w:val="24"/>
        </w:rPr>
        <w:t>* (1.1)</w:t>
      </w:r>
      <w:r w:rsidRPr="0029333A">
        <w:rPr>
          <w:color w:val="FF0000"/>
          <w:sz w:val="24"/>
          <w:szCs w:val="24"/>
          <w:vertAlign w:val="superscript"/>
        </w:rPr>
        <w:t>-5</w:t>
      </w:r>
    </w:p>
    <w:p w:rsidR="00097034" w:rsidRPr="0029333A" w:rsidRDefault="000B403C" w:rsidP="00C81611">
      <w:pPr>
        <w:rPr>
          <w:rFonts w:eastAsiaTheme="minorEastAsia"/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Ip= 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VAN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+1</m:t>
          </m:r>
        </m:oMath>
      </m:oMathPara>
    </w:p>
    <w:p w:rsidR="000B403C" w:rsidRPr="0029333A" w:rsidRDefault="000B403C" w:rsidP="00C81611">
      <w:pPr>
        <w:rPr>
          <w:sz w:val="24"/>
          <w:szCs w:val="24"/>
        </w:rPr>
      </w:pPr>
      <w:r w:rsidRPr="0029333A">
        <w:rPr>
          <w:b/>
          <w:sz w:val="24"/>
          <w:szCs w:val="24"/>
        </w:rPr>
        <w:t>TRI</w:t>
      </w:r>
      <w:r w:rsidRPr="0029333A">
        <w:rPr>
          <w:sz w:val="24"/>
          <w:szCs w:val="24"/>
        </w:rPr>
        <w:t xml:space="preserve"> </w:t>
      </w:r>
      <w:r w:rsidRPr="0029333A">
        <w:rPr>
          <w:sz w:val="24"/>
          <w:szCs w:val="24"/>
        </w:rPr>
        <w:sym w:font="Wingdings" w:char="F0E0"/>
      </w:r>
      <w:r w:rsidRPr="0029333A">
        <w:rPr>
          <w:sz w:val="24"/>
          <w:szCs w:val="24"/>
        </w:rPr>
        <w:t xml:space="preserve"> Taux pour lequel VAN = 0</w:t>
      </w:r>
    </w:p>
    <w:p w:rsidR="000B403C" w:rsidRPr="0029333A" w:rsidRDefault="000B403C" w:rsidP="00C81611">
      <w:pPr>
        <w:rPr>
          <w:sz w:val="24"/>
          <w:szCs w:val="24"/>
        </w:rPr>
      </w:pPr>
      <w:r w:rsidRPr="0029333A">
        <w:rPr>
          <w:sz w:val="24"/>
          <w:szCs w:val="24"/>
        </w:rPr>
        <w:t xml:space="preserve">10% </w:t>
      </w:r>
      <w:r w:rsidRPr="0029333A">
        <w:rPr>
          <w:sz w:val="24"/>
          <w:szCs w:val="24"/>
        </w:rPr>
        <w:sym w:font="Wingdings" w:char="F0E0"/>
      </w:r>
      <w:r w:rsidRPr="0029333A">
        <w:rPr>
          <w:sz w:val="24"/>
          <w:szCs w:val="24"/>
        </w:rPr>
        <w:t xml:space="preserve"> 637 236 (VAN)</w:t>
      </w:r>
    </w:p>
    <w:p w:rsidR="000B403C" w:rsidRPr="0029333A" w:rsidRDefault="000B403C" w:rsidP="00C81611">
      <w:pPr>
        <w:rPr>
          <w:sz w:val="24"/>
          <w:szCs w:val="24"/>
        </w:rPr>
      </w:pPr>
      <w:r w:rsidRPr="0029333A">
        <w:rPr>
          <w:sz w:val="24"/>
          <w:szCs w:val="24"/>
        </w:rPr>
        <w:t xml:space="preserve">TRI </w:t>
      </w:r>
      <w:r w:rsidRPr="0029333A">
        <w:rPr>
          <w:sz w:val="24"/>
          <w:szCs w:val="24"/>
        </w:rPr>
        <w:sym w:font="Wingdings" w:char="F0E0"/>
      </w:r>
      <w:r w:rsidRPr="0029333A">
        <w:rPr>
          <w:sz w:val="24"/>
          <w:szCs w:val="24"/>
        </w:rPr>
        <w:t xml:space="preserve"> 0</w:t>
      </w:r>
    </w:p>
    <w:p w:rsidR="00B14DDD" w:rsidRPr="0029333A" w:rsidRDefault="00B14DDD" w:rsidP="00C81611">
      <w:pPr>
        <w:rPr>
          <w:sz w:val="24"/>
          <w:szCs w:val="24"/>
        </w:rPr>
      </w:pPr>
      <w:r w:rsidRPr="0029333A">
        <w:rPr>
          <w:sz w:val="24"/>
          <w:szCs w:val="24"/>
        </w:rPr>
        <w:t xml:space="preserve">53% </w:t>
      </w:r>
      <w:r w:rsidRPr="0029333A">
        <w:rPr>
          <w:sz w:val="24"/>
          <w:szCs w:val="24"/>
        </w:rPr>
        <w:sym w:font="Wingdings" w:char="F0E0"/>
      </w:r>
      <w:r w:rsidRPr="0029333A">
        <w:rPr>
          <w:sz w:val="24"/>
          <w:szCs w:val="24"/>
        </w:rPr>
        <w:t xml:space="preserve"> -1475</w:t>
      </w:r>
    </w:p>
    <w:p w:rsidR="006E1FFE" w:rsidRPr="0029333A" w:rsidRDefault="006E1FFE" w:rsidP="00C81611">
      <w:pPr>
        <w:rPr>
          <w:sz w:val="24"/>
          <w:szCs w:val="24"/>
        </w:rPr>
      </w:pPr>
      <w:r w:rsidRPr="0029333A">
        <w:rPr>
          <w:sz w:val="24"/>
          <w:szCs w:val="24"/>
        </w:rPr>
        <w:t xml:space="preserve">Par </w:t>
      </w:r>
      <w:r w:rsidR="00B14DDD" w:rsidRPr="0029333A">
        <w:rPr>
          <w:sz w:val="24"/>
          <w:szCs w:val="24"/>
        </w:rPr>
        <w:t>tâtonnement</w:t>
      </w:r>
      <w:r w:rsidRPr="0029333A">
        <w:rPr>
          <w:sz w:val="24"/>
          <w:szCs w:val="24"/>
        </w:rPr>
        <w:t xml:space="preserve">, on cherche </w:t>
      </w:r>
      <w:r w:rsidR="00B14DDD" w:rsidRPr="0029333A">
        <w:rPr>
          <w:sz w:val="24"/>
          <w:szCs w:val="24"/>
        </w:rPr>
        <w:t>i tels que VAN soit proche de 0.</w:t>
      </w:r>
    </w:p>
    <w:p w:rsidR="00B14DDD" w:rsidRPr="0029333A" w:rsidRDefault="00B14DDD" w:rsidP="00C81611">
      <w:pPr>
        <w:rPr>
          <w:sz w:val="24"/>
          <w:szCs w:val="24"/>
        </w:rPr>
      </w:pPr>
      <w:r w:rsidRPr="0029333A">
        <w:rPr>
          <w:sz w:val="24"/>
          <w:szCs w:val="24"/>
        </w:rPr>
        <w:t>Donc pour i = 53%, VAN = -1475</w:t>
      </w:r>
    </w:p>
    <w:p w:rsidR="00B14DDD" w:rsidRPr="0029333A" w:rsidRDefault="00B14DDD" w:rsidP="00C81611">
      <w:pPr>
        <w:rPr>
          <w:sz w:val="24"/>
          <w:szCs w:val="24"/>
        </w:rPr>
      </w:pPr>
      <w:r w:rsidRPr="0029333A">
        <w:rPr>
          <w:sz w:val="24"/>
          <w:szCs w:val="24"/>
        </w:rPr>
        <w:t>On fait ensuite un produit en croix pour trouver TRI :</w:t>
      </w:r>
    </w:p>
    <w:p w:rsidR="00B14DDD" w:rsidRPr="0029333A" w:rsidRDefault="00B14DDD" w:rsidP="00C81611">
      <w:pPr>
        <w:rPr>
          <w:sz w:val="24"/>
          <w:szCs w:val="24"/>
        </w:rPr>
      </w:pPr>
    </w:p>
    <w:p w:rsidR="000B403C" w:rsidRPr="0029333A" w:rsidRDefault="00B14DDD" w:rsidP="00C81611">
      <w:pPr>
        <w:rPr>
          <w:rFonts w:eastAsiaTheme="minorEastAsia"/>
          <w:b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53-10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TRI-10 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-1475-637236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0-637236 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</m:oMath>
      </m:oMathPara>
    </w:p>
    <w:p w:rsidR="00B14DDD" w:rsidRPr="0029333A" w:rsidRDefault="00B14DDD" w:rsidP="00C81611">
      <w:pPr>
        <w:rPr>
          <w:b/>
          <w:sz w:val="24"/>
          <w:szCs w:val="24"/>
        </w:rPr>
      </w:pPr>
    </w:p>
    <w:p w:rsidR="00B14DDD" w:rsidRPr="0029333A" w:rsidRDefault="00521D88" w:rsidP="00C81611">
      <w:pPr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TRI-10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53-10 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0-637236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-1475-637236 </m:t>
              </m:r>
            </m:den>
          </m:f>
        </m:oMath>
      </m:oMathPara>
    </w:p>
    <w:p w:rsidR="00B14DDD" w:rsidRPr="0029333A" w:rsidRDefault="00B14DDD" w:rsidP="00C81611">
      <w:pPr>
        <w:rPr>
          <w:rFonts w:eastAsiaTheme="minorEastAsia"/>
          <w:b/>
          <w:sz w:val="24"/>
          <w:szCs w:val="24"/>
        </w:rPr>
      </w:pPr>
    </w:p>
    <w:p w:rsidR="00B14DDD" w:rsidRPr="0029333A" w:rsidRDefault="00B14DDD" w:rsidP="00B14DDD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TRI-10=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53-10 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0-637236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-1475-637236 </m:t>
              </m:r>
            </m:den>
          </m:f>
        </m:oMath>
      </m:oMathPara>
    </w:p>
    <w:p w:rsidR="00B14DDD" w:rsidRPr="0029333A" w:rsidRDefault="00B14DDD" w:rsidP="00B14DDD">
      <w:pPr>
        <w:rPr>
          <w:b/>
          <w:sz w:val="24"/>
          <w:szCs w:val="24"/>
        </w:rPr>
      </w:pPr>
    </w:p>
    <w:p w:rsidR="00B14DDD" w:rsidRPr="0029333A" w:rsidRDefault="00B14DDD" w:rsidP="00B14DDD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TRI=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53-10 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0-637236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-1475-637236 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+10</m:t>
          </m:r>
        </m:oMath>
      </m:oMathPara>
    </w:p>
    <w:p w:rsidR="00B14DDD" w:rsidRPr="0029333A" w:rsidRDefault="00B14DDD" w:rsidP="00B14DDD">
      <w:pPr>
        <w:rPr>
          <w:b/>
          <w:sz w:val="24"/>
          <w:szCs w:val="24"/>
        </w:rPr>
      </w:pPr>
    </w:p>
    <w:p w:rsidR="00B14DDD" w:rsidRPr="0029333A" w:rsidRDefault="0029333A" w:rsidP="00C81611">
      <w:pPr>
        <w:rPr>
          <w:sz w:val="24"/>
          <w:szCs w:val="24"/>
        </w:rPr>
      </w:pPr>
      <w:r w:rsidRPr="0029333A">
        <w:rPr>
          <w:sz w:val="24"/>
          <w:szCs w:val="24"/>
        </w:rPr>
        <w:t xml:space="preserve">Tous les projets sont rentables car </w:t>
      </w:r>
      <w:r w:rsidRPr="0029333A">
        <w:rPr>
          <w:b/>
          <w:color w:val="FF0000"/>
          <w:sz w:val="24"/>
          <w:szCs w:val="24"/>
        </w:rPr>
        <w:t>VAN &gt; 0</w:t>
      </w:r>
      <w:r w:rsidRPr="0029333A">
        <w:rPr>
          <w:color w:val="FF0000"/>
          <w:sz w:val="24"/>
          <w:szCs w:val="24"/>
        </w:rPr>
        <w:t xml:space="preserve">. </w:t>
      </w:r>
      <w:r w:rsidRPr="0029333A">
        <w:rPr>
          <w:sz w:val="24"/>
          <w:szCs w:val="24"/>
        </w:rPr>
        <w:t>Au niveau des rentabilité, cela donne :</w:t>
      </w:r>
    </w:p>
    <w:p w:rsidR="0029333A" w:rsidRPr="0029333A" w:rsidRDefault="0029333A" w:rsidP="00C81611">
      <w:pPr>
        <w:rPr>
          <w:sz w:val="24"/>
          <w:szCs w:val="24"/>
          <w:vertAlign w:val="subscript"/>
        </w:rPr>
      </w:pPr>
      <w:r w:rsidRPr="0029333A">
        <w:rPr>
          <w:sz w:val="24"/>
          <w:szCs w:val="24"/>
        </w:rPr>
        <w:t>P</w:t>
      </w:r>
      <w:r w:rsidRPr="0029333A">
        <w:rPr>
          <w:sz w:val="24"/>
          <w:szCs w:val="24"/>
          <w:vertAlign w:val="subscript"/>
        </w:rPr>
        <w:t>4</w:t>
      </w:r>
      <w:r w:rsidRPr="0029333A">
        <w:rPr>
          <w:sz w:val="24"/>
          <w:szCs w:val="24"/>
        </w:rPr>
        <w:t xml:space="preserve">  &gt; P</w:t>
      </w:r>
      <w:r w:rsidRPr="0029333A">
        <w:rPr>
          <w:sz w:val="24"/>
          <w:szCs w:val="24"/>
          <w:vertAlign w:val="subscript"/>
        </w:rPr>
        <w:t>2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3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1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6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5</w:t>
      </w:r>
    </w:p>
    <w:p w:rsidR="0029333A" w:rsidRPr="0029333A" w:rsidRDefault="0029333A" w:rsidP="00C81611">
      <w:pPr>
        <w:rPr>
          <w:sz w:val="24"/>
          <w:szCs w:val="24"/>
        </w:rPr>
      </w:pPr>
      <w:r w:rsidRPr="0029333A">
        <w:rPr>
          <w:sz w:val="24"/>
          <w:szCs w:val="24"/>
        </w:rPr>
        <w:t xml:space="preserve">Il faut comparer le TRI avec le taux d’actualisation. Si </w:t>
      </w:r>
      <w:r w:rsidRPr="0029333A">
        <w:rPr>
          <w:b/>
          <w:color w:val="FF0000"/>
          <w:sz w:val="24"/>
          <w:szCs w:val="24"/>
        </w:rPr>
        <w:t>TRI &gt; au taux d’actualisation</w:t>
      </w:r>
      <w:r w:rsidRPr="0029333A">
        <w:rPr>
          <w:sz w:val="24"/>
          <w:szCs w:val="24"/>
        </w:rPr>
        <w:t>, les projets sont rentables :</w:t>
      </w:r>
    </w:p>
    <w:p w:rsidR="0029333A" w:rsidRPr="0029333A" w:rsidRDefault="0029333A" w:rsidP="0029333A">
      <w:pPr>
        <w:rPr>
          <w:sz w:val="24"/>
          <w:szCs w:val="24"/>
        </w:rPr>
      </w:pPr>
      <w:r w:rsidRPr="0029333A">
        <w:rPr>
          <w:sz w:val="24"/>
          <w:szCs w:val="24"/>
        </w:rPr>
        <w:t>P</w:t>
      </w:r>
      <w:r w:rsidRPr="0029333A">
        <w:rPr>
          <w:sz w:val="24"/>
          <w:szCs w:val="24"/>
          <w:vertAlign w:val="subscript"/>
        </w:rPr>
        <w:t>1</w:t>
      </w:r>
      <w:r w:rsidRPr="0029333A">
        <w:rPr>
          <w:sz w:val="24"/>
          <w:szCs w:val="24"/>
        </w:rPr>
        <w:t xml:space="preserve">  &gt; P</w:t>
      </w:r>
      <w:r w:rsidRPr="0029333A">
        <w:rPr>
          <w:sz w:val="24"/>
          <w:szCs w:val="24"/>
          <w:vertAlign w:val="subscript"/>
        </w:rPr>
        <w:t>4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2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3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6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5</w:t>
      </w:r>
    </w:p>
    <w:p w:rsidR="0029333A" w:rsidRPr="0029333A" w:rsidRDefault="0029333A" w:rsidP="0029333A">
      <w:pPr>
        <w:rPr>
          <w:sz w:val="24"/>
          <w:szCs w:val="24"/>
        </w:rPr>
      </w:pPr>
      <w:r w:rsidRPr="0029333A">
        <w:rPr>
          <w:sz w:val="24"/>
          <w:szCs w:val="24"/>
        </w:rPr>
        <w:t xml:space="preserve">Si </w:t>
      </w:r>
      <w:r w:rsidRPr="0029333A">
        <w:rPr>
          <w:b/>
          <w:color w:val="FF0000"/>
          <w:sz w:val="24"/>
          <w:szCs w:val="24"/>
        </w:rPr>
        <w:t>I</w:t>
      </w:r>
      <w:r w:rsidRPr="0029333A">
        <w:rPr>
          <w:b/>
          <w:color w:val="FF0000"/>
          <w:sz w:val="24"/>
          <w:szCs w:val="24"/>
          <w:vertAlign w:val="subscript"/>
        </w:rPr>
        <w:t>p</w:t>
      </w:r>
      <w:r w:rsidRPr="0029333A">
        <w:rPr>
          <w:b/>
          <w:color w:val="FF0000"/>
          <w:sz w:val="24"/>
          <w:szCs w:val="24"/>
        </w:rPr>
        <w:t xml:space="preserve"> &gt; 1</w:t>
      </w:r>
      <w:r w:rsidRPr="0029333A">
        <w:rPr>
          <w:sz w:val="24"/>
          <w:szCs w:val="24"/>
        </w:rPr>
        <w:t>, les projets sont rentables :</w:t>
      </w:r>
    </w:p>
    <w:p w:rsidR="0029333A" w:rsidRPr="0029333A" w:rsidRDefault="0029333A" w:rsidP="0029333A">
      <w:pPr>
        <w:rPr>
          <w:sz w:val="24"/>
          <w:szCs w:val="24"/>
        </w:rPr>
      </w:pPr>
      <w:r w:rsidRPr="0029333A">
        <w:rPr>
          <w:sz w:val="24"/>
          <w:szCs w:val="24"/>
        </w:rPr>
        <w:t>P</w:t>
      </w:r>
      <w:r w:rsidRPr="0029333A">
        <w:rPr>
          <w:sz w:val="24"/>
          <w:szCs w:val="24"/>
          <w:vertAlign w:val="subscript"/>
        </w:rPr>
        <w:t>1</w:t>
      </w:r>
      <w:r w:rsidRPr="0029333A">
        <w:rPr>
          <w:sz w:val="24"/>
          <w:szCs w:val="24"/>
        </w:rPr>
        <w:t xml:space="preserve">  &gt; P</w:t>
      </w:r>
      <w:r w:rsidRPr="0029333A">
        <w:rPr>
          <w:sz w:val="24"/>
          <w:szCs w:val="24"/>
          <w:vertAlign w:val="subscript"/>
        </w:rPr>
        <w:t>4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2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3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6</w:t>
      </w:r>
      <w:r w:rsidRPr="0029333A">
        <w:rPr>
          <w:sz w:val="24"/>
          <w:szCs w:val="24"/>
        </w:rPr>
        <w:t xml:space="preserve"> &gt; P</w:t>
      </w:r>
      <w:r w:rsidRPr="0029333A">
        <w:rPr>
          <w:sz w:val="24"/>
          <w:szCs w:val="24"/>
          <w:vertAlign w:val="subscript"/>
        </w:rPr>
        <w:t>5</w:t>
      </w:r>
    </w:p>
    <w:p w:rsidR="0029333A" w:rsidRDefault="00555B95" w:rsidP="0029333A">
      <w:pPr>
        <w:rPr>
          <w:sz w:val="24"/>
          <w:szCs w:val="24"/>
        </w:rPr>
      </w:pPr>
      <w:r>
        <w:rPr>
          <w:sz w:val="24"/>
          <w:szCs w:val="24"/>
        </w:rPr>
        <w:t>Le TRI et l’I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amène au même classement donc on choisira ce classement.</w:t>
      </w:r>
    </w:p>
    <w:p w:rsidR="00555B95" w:rsidRDefault="00555B95" w:rsidP="0029333A">
      <w:pPr>
        <w:rPr>
          <w:sz w:val="24"/>
          <w:szCs w:val="24"/>
        </w:rPr>
      </w:pPr>
      <w:r>
        <w:rPr>
          <w:sz w:val="24"/>
          <w:szCs w:val="24"/>
        </w:rPr>
        <w:t xml:space="preserve">Dans notre plan d’investissement annuel, on décide de prendre trois projets : </w:t>
      </w:r>
      <w:r w:rsidRPr="0029333A">
        <w:rPr>
          <w:sz w:val="24"/>
          <w:szCs w:val="24"/>
        </w:rPr>
        <w:t>P</w:t>
      </w:r>
      <w:r w:rsidRPr="0029333A">
        <w:rPr>
          <w:sz w:val="24"/>
          <w:szCs w:val="24"/>
          <w:vertAlign w:val="subscript"/>
        </w:rPr>
        <w:t>1</w:t>
      </w:r>
      <w:r w:rsidRPr="0029333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et </w:t>
      </w:r>
      <w:r w:rsidRPr="0029333A">
        <w:rPr>
          <w:sz w:val="24"/>
          <w:szCs w:val="24"/>
        </w:rPr>
        <w:t>P</w:t>
      </w:r>
      <w:r w:rsidRPr="0029333A">
        <w:rPr>
          <w:sz w:val="24"/>
          <w:szCs w:val="24"/>
          <w:vertAlign w:val="subscript"/>
        </w:rPr>
        <w:t>4</w:t>
      </w:r>
      <w:r w:rsidRPr="002933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 w:rsidRPr="0029333A">
        <w:rPr>
          <w:sz w:val="24"/>
          <w:szCs w:val="24"/>
        </w:rPr>
        <w:t>P</w:t>
      </w:r>
      <w:r w:rsidRPr="0029333A">
        <w:rPr>
          <w:sz w:val="24"/>
          <w:szCs w:val="24"/>
          <w:vertAlign w:val="subscript"/>
        </w:rPr>
        <w:t>2</w:t>
      </w:r>
      <w:r w:rsidR="00631EA4">
        <w:rPr>
          <w:sz w:val="24"/>
          <w:szCs w:val="24"/>
        </w:rPr>
        <w:t>.</w:t>
      </w:r>
    </w:p>
    <w:p w:rsidR="00631EA4" w:rsidRDefault="008341E2" w:rsidP="0029333A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est le plus pertinent car dans son calcul il prend en compte VAN et I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.</w:t>
      </w:r>
    </w:p>
    <w:p w:rsidR="00277E27" w:rsidRDefault="00277E27" w:rsidP="0029333A">
      <w:pPr>
        <w:rPr>
          <w:sz w:val="24"/>
          <w:szCs w:val="24"/>
        </w:rPr>
      </w:pPr>
    </w:p>
    <w:p w:rsidR="00277E27" w:rsidRDefault="00277E27" w:rsidP="00277E27">
      <w:pPr>
        <w:pStyle w:val="Titre1"/>
      </w:pPr>
      <w:r>
        <w:t>Dossier 4 :</w:t>
      </w:r>
    </w:p>
    <w:p w:rsidR="00740CDA" w:rsidRPr="00740CDA" w:rsidRDefault="00740CDA" w:rsidP="00740CDA">
      <w:r>
        <w:t xml:space="preserve">1. </w:t>
      </w:r>
    </w:p>
    <w:p w:rsidR="00033802" w:rsidRPr="001B0F0D" w:rsidRDefault="001B0F0D" w:rsidP="00033802">
      <w:pPr>
        <w:rPr>
          <w:sz w:val="24"/>
        </w:rPr>
      </w:pPr>
      <w:r w:rsidRPr="001B0F0D">
        <w:rPr>
          <w:b/>
          <w:sz w:val="24"/>
        </w:rPr>
        <w:t>Intérêt simple</w:t>
      </w:r>
      <w:r w:rsidRPr="001B0F0D">
        <w:rPr>
          <w:sz w:val="24"/>
        </w:rPr>
        <w:t xml:space="preserve"> (Durée &lt; 1 ans) :</w:t>
      </w:r>
    </w:p>
    <w:p w:rsidR="001B0F0D" w:rsidRPr="00D45937" w:rsidRDefault="00D45937" w:rsidP="00033802">
      <w:pPr>
        <w:rPr>
          <w:sz w:val="24"/>
        </w:rPr>
      </w:pPr>
      <w:r>
        <w:rPr>
          <w:sz w:val="24"/>
        </w:rPr>
        <w:t>C</w:t>
      </w:r>
      <w:r>
        <w:rPr>
          <w:sz w:val="24"/>
          <w:vertAlign w:val="subscript"/>
        </w:rPr>
        <w:t xml:space="preserve">n </w:t>
      </w:r>
      <w:r>
        <w:rPr>
          <w:sz w:val="24"/>
        </w:rPr>
        <w:t>= C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(1 + n*t)</w:t>
      </w:r>
    </w:p>
    <w:p w:rsidR="001B0F0D" w:rsidRPr="001B0F0D" w:rsidRDefault="001B0F0D" w:rsidP="00033802">
      <w:pPr>
        <w:rPr>
          <w:sz w:val="24"/>
        </w:rPr>
      </w:pPr>
      <w:r w:rsidRPr="001B0F0D">
        <w:rPr>
          <w:b/>
          <w:sz w:val="24"/>
        </w:rPr>
        <w:t xml:space="preserve">Intérêt composé </w:t>
      </w:r>
      <w:r w:rsidRPr="00D45937">
        <w:rPr>
          <w:sz w:val="24"/>
        </w:rPr>
        <w:t>(</w:t>
      </w:r>
      <w:r w:rsidRPr="001B0F0D">
        <w:rPr>
          <w:sz w:val="24"/>
        </w:rPr>
        <w:t>Durée &gt; 1 ans) :</w:t>
      </w:r>
    </w:p>
    <w:p w:rsidR="001B0F0D" w:rsidRDefault="00D45937" w:rsidP="00033802">
      <w:pPr>
        <w:rPr>
          <w:sz w:val="24"/>
        </w:rPr>
      </w:pPr>
      <w:r>
        <w:rPr>
          <w:sz w:val="24"/>
        </w:rPr>
        <w:t>C</w:t>
      </w:r>
      <w:r>
        <w:rPr>
          <w:sz w:val="24"/>
          <w:vertAlign w:val="subscript"/>
        </w:rPr>
        <w:t xml:space="preserve">n </w:t>
      </w:r>
      <w:r>
        <w:rPr>
          <w:sz w:val="24"/>
        </w:rPr>
        <w:t>= C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(1 + t)</w:t>
      </w:r>
      <w:r w:rsidR="00A351A4">
        <w:rPr>
          <w:sz w:val="24"/>
          <w:vertAlign w:val="superscript"/>
        </w:rPr>
        <w:t>n</w:t>
      </w:r>
    </w:p>
    <w:p w:rsidR="00A351A4" w:rsidRDefault="00A351A4" w:rsidP="00033802"/>
    <w:p w:rsidR="00A351A4" w:rsidRDefault="00A351A4" w:rsidP="00033802">
      <w:r>
        <w:t xml:space="preserve">Taux annuel </w:t>
      </w:r>
      <w:r>
        <w:sym w:font="Wingdings" w:char="F0E0"/>
      </w:r>
      <w:r>
        <w:t xml:space="preserve"> Mensuel : t/12</w:t>
      </w:r>
    </w:p>
    <w:p w:rsidR="00A351A4" w:rsidRDefault="00A351A4" w:rsidP="00033802">
      <w:r>
        <w:tab/>
      </w:r>
      <w:r>
        <w:tab/>
        <w:t>Semestriel : t/2</w:t>
      </w:r>
    </w:p>
    <w:p w:rsidR="00A351A4" w:rsidRDefault="00A351A4" w:rsidP="00033802">
      <w:r>
        <w:tab/>
      </w:r>
      <w:r>
        <w:tab/>
        <w:t>Trimestriel : t/3</w:t>
      </w:r>
    </w:p>
    <w:p w:rsidR="00A351A4" w:rsidRDefault="00A351A4" w:rsidP="00033802">
      <w:r>
        <w:tab/>
      </w:r>
      <w:r>
        <w:tab/>
        <w:t>Jour : t/365</w:t>
      </w:r>
    </w:p>
    <w:p w:rsidR="00740CDA" w:rsidRDefault="00740CDA" w:rsidP="00033802">
      <w:r>
        <w:t xml:space="preserve">2. </w:t>
      </w:r>
    </w:p>
    <w:p w:rsidR="00740CDA" w:rsidRDefault="00740CDA" w:rsidP="00033802"/>
    <w:p w:rsidR="00740CDA" w:rsidRDefault="00740CDA" w:rsidP="00033802">
      <w:r>
        <w:lastRenderedPageBreak/>
        <w:t>3. Valeur acquise le 31 décembre N par ces douze versements :</w:t>
      </w:r>
    </w:p>
    <w:p w:rsidR="00740CDA" w:rsidRPr="00A351A4" w:rsidRDefault="00740CDA" w:rsidP="00033802"/>
    <w:p w:rsidR="001B0F0D" w:rsidRPr="00033802" w:rsidRDefault="001B0F0D" w:rsidP="00033802"/>
    <w:p w:rsidR="0029333A" w:rsidRPr="0029333A" w:rsidRDefault="0029333A" w:rsidP="00C81611"/>
    <w:p w:rsidR="000B403C" w:rsidRPr="000B403C" w:rsidRDefault="000B403C" w:rsidP="00C81611">
      <w:pPr>
        <w:rPr>
          <w:b/>
        </w:rPr>
      </w:pPr>
    </w:p>
    <w:sectPr w:rsidR="000B403C" w:rsidRPr="000B4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902E6"/>
    <w:multiLevelType w:val="hybridMultilevel"/>
    <w:tmpl w:val="BC081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67AA"/>
    <w:multiLevelType w:val="hybridMultilevel"/>
    <w:tmpl w:val="84542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820AF"/>
    <w:multiLevelType w:val="hybridMultilevel"/>
    <w:tmpl w:val="20C69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E01CB"/>
    <w:multiLevelType w:val="hybridMultilevel"/>
    <w:tmpl w:val="857C570C"/>
    <w:lvl w:ilvl="0" w:tplc="894E1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00742"/>
    <w:multiLevelType w:val="hybridMultilevel"/>
    <w:tmpl w:val="0B78571E"/>
    <w:lvl w:ilvl="0" w:tplc="5B88E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36"/>
    <w:rsid w:val="00012EC2"/>
    <w:rsid w:val="00033802"/>
    <w:rsid w:val="00045ACB"/>
    <w:rsid w:val="0005033C"/>
    <w:rsid w:val="000519BC"/>
    <w:rsid w:val="00060C33"/>
    <w:rsid w:val="0009228F"/>
    <w:rsid w:val="00097034"/>
    <w:rsid w:val="000B06FA"/>
    <w:rsid w:val="000B403C"/>
    <w:rsid w:val="000E05B0"/>
    <w:rsid w:val="000F37B1"/>
    <w:rsid w:val="001A0462"/>
    <w:rsid w:val="001B0F0D"/>
    <w:rsid w:val="001C5A29"/>
    <w:rsid w:val="001D5773"/>
    <w:rsid w:val="00212364"/>
    <w:rsid w:val="00214BEF"/>
    <w:rsid w:val="00233183"/>
    <w:rsid w:val="00277E27"/>
    <w:rsid w:val="0029333A"/>
    <w:rsid w:val="002B25FD"/>
    <w:rsid w:val="002B5B90"/>
    <w:rsid w:val="00350C89"/>
    <w:rsid w:val="00353E1D"/>
    <w:rsid w:val="00356C35"/>
    <w:rsid w:val="003844E6"/>
    <w:rsid w:val="00384DB2"/>
    <w:rsid w:val="0039166C"/>
    <w:rsid w:val="003C3ED6"/>
    <w:rsid w:val="003D38E6"/>
    <w:rsid w:val="00421805"/>
    <w:rsid w:val="00481575"/>
    <w:rsid w:val="004E61C8"/>
    <w:rsid w:val="00502AC6"/>
    <w:rsid w:val="0051011B"/>
    <w:rsid w:val="00521D88"/>
    <w:rsid w:val="00555B95"/>
    <w:rsid w:val="005741E8"/>
    <w:rsid w:val="00585BB9"/>
    <w:rsid w:val="005B4DAC"/>
    <w:rsid w:val="00622591"/>
    <w:rsid w:val="00631EA4"/>
    <w:rsid w:val="006B5AD5"/>
    <w:rsid w:val="006E1FFE"/>
    <w:rsid w:val="00735A48"/>
    <w:rsid w:val="00740CDA"/>
    <w:rsid w:val="007B5BD2"/>
    <w:rsid w:val="007C5639"/>
    <w:rsid w:val="008033D1"/>
    <w:rsid w:val="008129D6"/>
    <w:rsid w:val="008341E2"/>
    <w:rsid w:val="008818DD"/>
    <w:rsid w:val="008A36FD"/>
    <w:rsid w:val="008B3356"/>
    <w:rsid w:val="008C2F1A"/>
    <w:rsid w:val="008C4396"/>
    <w:rsid w:val="008E03A9"/>
    <w:rsid w:val="009016E8"/>
    <w:rsid w:val="009025FC"/>
    <w:rsid w:val="00980180"/>
    <w:rsid w:val="00997B3B"/>
    <w:rsid w:val="009B4981"/>
    <w:rsid w:val="00A06DAF"/>
    <w:rsid w:val="00A2294C"/>
    <w:rsid w:val="00A351A4"/>
    <w:rsid w:val="00A4566C"/>
    <w:rsid w:val="00A56304"/>
    <w:rsid w:val="00AA4689"/>
    <w:rsid w:val="00B07EA2"/>
    <w:rsid w:val="00B14DDD"/>
    <w:rsid w:val="00B25321"/>
    <w:rsid w:val="00B80C71"/>
    <w:rsid w:val="00C11180"/>
    <w:rsid w:val="00C7774B"/>
    <w:rsid w:val="00C81611"/>
    <w:rsid w:val="00C8197A"/>
    <w:rsid w:val="00C85F8B"/>
    <w:rsid w:val="00C8601A"/>
    <w:rsid w:val="00C94109"/>
    <w:rsid w:val="00C97336"/>
    <w:rsid w:val="00D35A66"/>
    <w:rsid w:val="00D45937"/>
    <w:rsid w:val="00D46AA3"/>
    <w:rsid w:val="00DE6443"/>
    <w:rsid w:val="00E0654A"/>
    <w:rsid w:val="00E659C8"/>
    <w:rsid w:val="00E82544"/>
    <w:rsid w:val="00EA2DAB"/>
    <w:rsid w:val="00EB7547"/>
    <w:rsid w:val="00EC08CA"/>
    <w:rsid w:val="00EE6C08"/>
    <w:rsid w:val="00F3347D"/>
    <w:rsid w:val="00F34B57"/>
    <w:rsid w:val="00F44D39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BDED9-4464-4F4E-B798-303E9425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5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1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B25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5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5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18DD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818D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818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1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818DD"/>
    <w:rPr>
      <w:rFonts w:eastAsiaTheme="minorEastAsia"/>
      <w:color w:val="5A5A5A" w:themeColor="text1" w:themeTint="A5"/>
      <w:spacing w:val="15"/>
    </w:rPr>
  </w:style>
  <w:style w:type="character" w:styleId="Textedelespacerserv">
    <w:name w:val="Placeholder Text"/>
    <w:basedOn w:val="Policepardfaut"/>
    <w:uiPriority w:val="99"/>
    <w:semiHidden/>
    <w:rsid w:val="00C11180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502A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2AC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1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1D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ta-facile.com/compte-de-resulta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esechos.fr/finance-marches/vernimmen/definition_cout-moyen-pondere-du-capit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sechos.fr/finance-marches/vernimmen/definition_taux-de-rentabilit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9443E0-3ED4-492C-A4DE-455C9741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1282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</dc:creator>
  <cp:keywords/>
  <dc:description/>
  <cp:lastModifiedBy>Léo</cp:lastModifiedBy>
  <cp:revision>21</cp:revision>
  <cp:lastPrinted>2018-01-06T15:05:00Z</cp:lastPrinted>
  <dcterms:created xsi:type="dcterms:W3CDTF">2017-12-06T14:23:00Z</dcterms:created>
  <dcterms:modified xsi:type="dcterms:W3CDTF">2018-01-06T15:11:00Z</dcterms:modified>
</cp:coreProperties>
</file>