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253FE" w14:textId="0AF1F9BE" w:rsidR="00E30D49" w:rsidRDefault="000E5210" w:rsidP="000E5210">
      <w:pPr>
        <w:pStyle w:val="Titre"/>
      </w:pPr>
      <w:r>
        <w:t>Identification de charges</w:t>
      </w:r>
    </w:p>
    <w:p w14:paraId="0006AFE4" w14:textId="47CEF951" w:rsidR="000E5210" w:rsidRDefault="000E5210" w:rsidP="000E5210">
      <w:r>
        <w:t>L’entreprise Quai Ouest est spécialisée dans la fabrication de parapluies. Trois modèles sont commercialisés :</w:t>
      </w:r>
    </w:p>
    <w:p w14:paraId="6A3F8059" w14:textId="0D567FFA" w:rsidR="000E5210" w:rsidRDefault="000E5210" w:rsidP="000E5210">
      <w:pPr>
        <w:pStyle w:val="Paragraphedeliste"/>
        <w:numPr>
          <w:ilvl w:val="0"/>
          <w:numId w:val="1"/>
        </w:numPr>
      </w:pPr>
      <w:r>
        <w:t>Modèle Rennes : pliable, manuel ;</w:t>
      </w:r>
    </w:p>
    <w:p w14:paraId="4FA20733" w14:textId="0E886C98" w:rsidR="000E5210" w:rsidRDefault="000E5210" w:rsidP="000E5210">
      <w:pPr>
        <w:pStyle w:val="Paragraphedeliste"/>
        <w:numPr>
          <w:ilvl w:val="0"/>
          <w:numId w:val="1"/>
        </w:numPr>
      </w:pPr>
      <w:r>
        <w:t>Modèle Nantes : pliable, à ouverture automatique ;</w:t>
      </w:r>
    </w:p>
    <w:p w14:paraId="22BAB619" w14:textId="4A78522B" w:rsidR="000E5210" w:rsidRDefault="000E5210" w:rsidP="000E5210">
      <w:pPr>
        <w:pStyle w:val="Paragraphedeliste"/>
        <w:numPr>
          <w:ilvl w:val="0"/>
          <w:numId w:val="1"/>
        </w:numPr>
      </w:pPr>
      <w:r>
        <w:t>Modèle Brest : non-pliable, manuel ;</w:t>
      </w:r>
    </w:p>
    <w:p w14:paraId="04F505E1" w14:textId="1BEE396D" w:rsidR="000E5210" w:rsidRDefault="000E5210" w:rsidP="000E5210">
      <w:r>
        <w:t>Les trois modèles utilisent la même matière première (à l’exception du mécanisme automatique disponible uniquement sur le modèle Nantes). Les 3 modèles nécessitent l’usage de la machine A. En revanche, seule la production du modèle Nantes implique l’utilisation de la machine B (elle permet d’installer le système d’ouverture automatique). Du fait du processus de fabrication, on sait exactement combien de temps les ouvriers passent sur chaque modèle. En revanche, les salaires du personnel administratif et les autres charges (loyer, assurance, électricité etc.) concernent le fonctionnement global de l’entreprise. Les ouvriers et le personnel administratif est mensualisé. Les ventes sont réalisées par des vendeurs payés à la commission. Une importante campagne publicitaire a été lancée, elle ne concerne que le produit Nantes.</w:t>
      </w:r>
    </w:p>
    <w:p w14:paraId="63B8DB02" w14:textId="6C474E52" w:rsidR="000E5210" w:rsidRDefault="000E5210" w:rsidP="000E5210">
      <w:pPr>
        <w:pStyle w:val="Titre2"/>
        <w:numPr>
          <w:ilvl w:val="0"/>
          <w:numId w:val="2"/>
        </w:numPr>
      </w:pPr>
      <w:r>
        <w:t>Identifier plusieurs objets de coût</w:t>
      </w:r>
    </w:p>
    <w:p w14:paraId="069481E0" w14:textId="2584DBF3" w:rsidR="000E5210" w:rsidRDefault="000E5210" w:rsidP="000E5210">
      <w:pPr>
        <w:pStyle w:val="Titre2"/>
        <w:numPr>
          <w:ilvl w:val="0"/>
          <w:numId w:val="2"/>
        </w:numPr>
      </w:pPr>
      <w:r>
        <w:t>Identifier pour chaque objet de coût des charges directes, des charges indirectes, des charges variables et des charges fixes</w:t>
      </w:r>
    </w:p>
    <w:p w14:paraId="74F6AD33" w14:textId="5C041336" w:rsidR="000E5210" w:rsidRDefault="000E5210" w:rsidP="000E5210">
      <w:pPr>
        <w:pStyle w:val="Titre2"/>
        <w:numPr>
          <w:ilvl w:val="0"/>
          <w:numId w:val="2"/>
        </w:numPr>
      </w:pPr>
      <w:r>
        <w:t>Lister les différentes charges et indiquer à quel/s objet/s de cout elles se rattachent et si elles sont directes ou indirectes, variables ou fixes par rapport à ce/ces objet/s de coûts</w:t>
      </w:r>
    </w:p>
    <w:p w14:paraId="2361F24F" w14:textId="7F99858E" w:rsidR="00662984" w:rsidRDefault="00662984" w:rsidP="00662984"/>
    <w:p w14:paraId="3FA59604" w14:textId="3698D15E" w:rsidR="00662984" w:rsidRDefault="00662984" w:rsidP="00662984">
      <w:r>
        <w:t xml:space="preserve">1. </w:t>
      </w:r>
    </w:p>
    <w:tbl>
      <w:tblPr>
        <w:tblStyle w:val="Grilledutableau"/>
        <w:tblW w:w="0" w:type="auto"/>
        <w:tblLook w:val="04A0" w:firstRow="1" w:lastRow="0" w:firstColumn="1" w:lastColumn="0" w:noHBand="0" w:noVBand="1"/>
      </w:tblPr>
      <w:tblGrid>
        <w:gridCol w:w="4531"/>
        <w:gridCol w:w="1276"/>
        <w:gridCol w:w="1134"/>
        <w:gridCol w:w="1134"/>
        <w:gridCol w:w="987"/>
      </w:tblGrid>
      <w:tr w:rsidR="00662984" w14:paraId="4DC61B9C" w14:textId="77777777" w:rsidTr="00662984">
        <w:tc>
          <w:tcPr>
            <w:tcW w:w="4531" w:type="dxa"/>
            <w:shd w:val="clear" w:color="auto" w:fill="AEAAAA" w:themeFill="background2" w:themeFillShade="BF"/>
          </w:tcPr>
          <w:p w14:paraId="43E84E5D" w14:textId="77777777" w:rsidR="00662984" w:rsidRDefault="00662984" w:rsidP="00662984">
            <w:pPr>
              <w:jc w:val="center"/>
            </w:pPr>
          </w:p>
        </w:tc>
        <w:tc>
          <w:tcPr>
            <w:tcW w:w="1276" w:type="dxa"/>
            <w:shd w:val="clear" w:color="auto" w:fill="AEAAAA" w:themeFill="background2" w:themeFillShade="BF"/>
          </w:tcPr>
          <w:p w14:paraId="42133055" w14:textId="4E968CC7" w:rsidR="00662984" w:rsidRDefault="00662984" w:rsidP="00662984">
            <w:pPr>
              <w:jc w:val="center"/>
            </w:pPr>
            <w:r>
              <w:t>CV</w:t>
            </w:r>
          </w:p>
        </w:tc>
        <w:tc>
          <w:tcPr>
            <w:tcW w:w="1134" w:type="dxa"/>
            <w:shd w:val="clear" w:color="auto" w:fill="AEAAAA" w:themeFill="background2" w:themeFillShade="BF"/>
          </w:tcPr>
          <w:p w14:paraId="753211F4" w14:textId="1E621E3D" w:rsidR="00662984" w:rsidRDefault="00662984" w:rsidP="00662984">
            <w:pPr>
              <w:jc w:val="center"/>
            </w:pPr>
            <w:r>
              <w:t>CF</w:t>
            </w:r>
          </w:p>
        </w:tc>
        <w:tc>
          <w:tcPr>
            <w:tcW w:w="1134" w:type="dxa"/>
            <w:shd w:val="clear" w:color="auto" w:fill="AEAAAA" w:themeFill="background2" w:themeFillShade="BF"/>
          </w:tcPr>
          <w:p w14:paraId="1CE7BF1F" w14:textId="605B6ECA" w:rsidR="00662984" w:rsidRDefault="00662984" w:rsidP="00662984">
            <w:pPr>
              <w:jc w:val="center"/>
            </w:pPr>
            <w:r>
              <w:t>CD</w:t>
            </w:r>
          </w:p>
        </w:tc>
        <w:tc>
          <w:tcPr>
            <w:tcW w:w="987" w:type="dxa"/>
            <w:shd w:val="clear" w:color="auto" w:fill="AEAAAA" w:themeFill="background2" w:themeFillShade="BF"/>
          </w:tcPr>
          <w:p w14:paraId="019BB6F2" w14:textId="1A2C6F59" w:rsidR="00662984" w:rsidRDefault="00662984" w:rsidP="00662984">
            <w:pPr>
              <w:jc w:val="center"/>
            </w:pPr>
            <w:r>
              <w:t>CI</w:t>
            </w:r>
          </w:p>
        </w:tc>
      </w:tr>
      <w:tr w:rsidR="00662984" w14:paraId="09F016EE" w14:textId="77777777" w:rsidTr="00662984">
        <w:tc>
          <w:tcPr>
            <w:tcW w:w="4531" w:type="dxa"/>
          </w:tcPr>
          <w:p w14:paraId="1F894298" w14:textId="77777777" w:rsidR="00662984" w:rsidRDefault="00662984" w:rsidP="00662984">
            <w:pPr>
              <w:jc w:val="center"/>
            </w:pPr>
            <w:r>
              <w:t>Matières Premières</w:t>
            </w:r>
          </w:p>
          <w:p w14:paraId="48DDD1A2" w14:textId="649A7CCC" w:rsidR="00662984" w:rsidRDefault="00662984" w:rsidP="00662984">
            <w:pPr>
              <w:jc w:val="center"/>
            </w:pPr>
            <w:r>
              <w:t>Amortissement des machines A</w:t>
            </w:r>
          </w:p>
          <w:p w14:paraId="160011E7" w14:textId="7C03B326" w:rsidR="00662984" w:rsidRDefault="00662984" w:rsidP="00662984">
            <w:pPr>
              <w:jc w:val="center"/>
            </w:pPr>
            <w:r>
              <w:t>Amortissements des machines B</w:t>
            </w:r>
            <w:bookmarkStart w:id="0" w:name="_GoBack"/>
            <w:bookmarkEnd w:id="0"/>
          </w:p>
        </w:tc>
        <w:tc>
          <w:tcPr>
            <w:tcW w:w="1276" w:type="dxa"/>
          </w:tcPr>
          <w:p w14:paraId="48BD44AD" w14:textId="77777777" w:rsidR="00662984" w:rsidRDefault="00662984" w:rsidP="00662984">
            <w:pPr>
              <w:jc w:val="center"/>
            </w:pPr>
            <w:r>
              <w:t>X</w:t>
            </w:r>
          </w:p>
          <w:p w14:paraId="5043E305" w14:textId="77777777" w:rsidR="00662984" w:rsidRDefault="00662984" w:rsidP="00662984">
            <w:pPr>
              <w:jc w:val="center"/>
            </w:pPr>
          </w:p>
          <w:p w14:paraId="1BBB90D4" w14:textId="20008D92" w:rsidR="00662984" w:rsidRDefault="00662984" w:rsidP="00662984">
            <w:pPr>
              <w:jc w:val="center"/>
            </w:pPr>
          </w:p>
        </w:tc>
        <w:tc>
          <w:tcPr>
            <w:tcW w:w="1134" w:type="dxa"/>
          </w:tcPr>
          <w:p w14:paraId="74381422" w14:textId="77777777" w:rsidR="00662984" w:rsidRDefault="00662984" w:rsidP="00662984">
            <w:pPr>
              <w:jc w:val="center"/>
            </w:pPr>
          </w:p>
          <w:p w14:paraId="556E0A3A" w14:textId="77777777" w:rsidR="00662984" w:rsidRDefault="00662984" w:rsidP="00662984">
            <w:pPr>
              <w:jc w:val="center"/>
            </w:pPr>
            <w:r>
              <w:t>X</w:t>
            </w:r>
          </w:p>
          <w:p w14:paraId="05AFDA8E" w14:textId="798B305A" w:rsidR="00662984" w:rsidRDefault="00662984" w:rsidP="00662984">
            <w:pPr>
              <w:jc w:val="center"/>
            </w:pPr>
            <w:r>
              <w:t>X</w:t>
            </w:r>
          </w:p>
        </w:tc>
        <w:tc>
          <w:tcPr>
            <w:tcW w:w="1134" w:type="dxa"/>
          </w:tcPr>
          <w:p w14:paraId="63C0DBC9" w14:textId="77777777" w:rsidR="00662984" w:rsidRDefault="00662984" w:rsidP="00662984">
            <w:pPr>
              <w:jc w:val="center"/>
            </w:pPr>
            <w:r>
              <w:t>X</w:t>
            </w:r>
          </w:p>
          <w:p w14:paraId="46601C47" w14:textId="78BC8D8D" w:rsidR="00662984" w:rsidRDefault="00662984" w:rsidP="00662984">
            <w:pPr>
              <w:jc w:val="center"/>
            </w:pPr>
            <w:r>
              <w:t>X</w:t>
            </w:r>
          </w:p>
        </w:tc>
        <w:tc>
          <w:tcPr>
            <w:tcW w:w="987" w:type="dxa"/>
          </w:tcPr>
          <w:p w14:paraId="38341473" w14:textId="77777777" w:rsidR="00662984" w:rsidRDefault="00662984" w:rsidP="00662984">
            <w:pPr>
              <w:jc w:val="center"/>
            </w:pPr>
          </w:p>
          <w:p w14:paraId="6AB86100" w14:textId="77777777" w:rsidR="00662984" w:rsidRDefault="00662984" w:rsidP="00662984">
            <w:pPr>
              <w:jc w:val="center"/>
            </w:pPr>
          </w:p>
          <w:p w14:paraId="7029AD73" w14:textId="3E6E32DD" w:rsidR="00662984" w:rsidRDefault="00662984" w:rsidP="00662984">
            <w:pPr>
              <w:jc w:val="center"/>
            </w:pPr>
            <w:r>
              <w:t>X</w:t>
            </w:r>
          </w:p>
        </w:tc>
      </w:tr>
    </w:tbl>
    <w:p w14:paraId="1FA4C337" w14:textId="77777777" w:rsidR="00662984" w:rsidRPr="00662984" w:rsidRDefault="00662984" w:rsidP="00662984"/>
    <w:sectPr w:rsidR="00662984" w:rsidRPr="006629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037C4"/>
    <w:multiLevelType w:val="hybridMultilevel"/>
    <w:tmpl w:val="EED2B6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4C50DB8"/>
    <w:multiLevelType w:val="hybridMultilevel"/>
    <w:tmpl w:val="D6A4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AEE"/>
    <w:rsid w:val="000E5210"/>
    <w:rsid w:val="00336652"/>
    <w:rsid w:val="00662984"/>
    <w:rsid w:val="00DC5AEE"/>
    <w:rsid w:val="00E30D49"/>
    <w:rsid w:val="00E913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0D1D"/>
  <w15:chartTrackingRefBased/>
  <w15:docId w15:val="{1D773460-7C3D-4AAE-BC88-7156D4E1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6652"/>
    <w:pPr>
      <w:jc w:val="both"/>
    </w:pPr>
  </w:style>
  <w:style w:type="paragraph" w:styleId="Titre2">
    <w:name w:val="heading 2"/>
    <w:basedOn w:val="Normal"/>
    <w:next w:val="Normal"/>
    <w:link w:val="Titre2Car"/>
    <w:uiPriority w:val="9"/>
    <w:unhideWhenUsed/>
    <w:qFormat/>
    <w:rsid w:val="000E52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52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5210"/>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0E5210"/>
    <w:pPr>
      <w:ind w:left="720"/>
      <w:contextualSpacing/>
    </w:pPr>
  </w:style>
  <w:style w:type="character" w:customStyle="1" w:styleId="Titre2Car">
    <w:name w:val="Titre 2 Car"/>
    <w:basedOn w:val="Policepardfaut"/>
    <w:link w:val="Titre2"/>
    <w:uiPriority w:val="9"/>
    <w:rsid w:val="000E5210"/>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662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1318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N</dc:creator>
  <cp:keywords/>
  <dc:description/>
  <cp:lastModifiedBy>Léo</cp:lastModifiedBy>
  <cp:revision>2</cp:revision>
  <dcterms:created xsi:type="dcterms:W3CDTF">2018-01-10T08:53:00Z</dcterms:created>
  <dcterms:modified xsi:type="dcterms:W3CDTF">2018-01-10T08:53:00Z</dcterms:modified>
</cp:coreProperties>
</file>