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64" w:hRule="auto"/>
        </w:trPr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 configuration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Baseline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</w:tr>
      <w:tr>
        <w:trPr>
          <w:trHeight w:val="464" w:hRule="auto"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 rounds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(0.77)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(1.03)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(0.78)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public messages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(4.43)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(4.33)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Tool calls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(1.83)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Runtime (seconds)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(21.69)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449.40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(180.36)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426.30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(205.70)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438.53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(241.04)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Observations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Note: Cells report means with standard deviations in parentheses.</w:t>
            </w:r>
          </w:p>
        </w:tc>
      </w:tr>
    </w:tbl>
    <w:sectPr>
      <w:pgMar w:header="850" w:bottom="1134" w:top="1701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2026-07-23T13:19:33Z</dcterms:modified>
  <cp:category/>
</cp:coreProperties>
</file>