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8"/>
        <w:gridCol w:w="1584"/>
        <w:gridCol w:w="3240"/>
        <w:gridCol w:w="1800"/>
      </w:tblGrid>
      <w:tr>
        <w:trPr>
          <w:trHeight w:val="360" w:hRule="auto"/>
        </w:trPr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Explicit SMM memory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discussion and tool history visible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Model-thought history visible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 treatment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raw history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Moderate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public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public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when available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Moderate baseline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public history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Note: The public-output template, public transcript format, candidate facts, and structured vote metadata requirement were held constant across conditions.</w:t>
            </w:r>
          </w:p>
        </w:tc>
      </w:tr>
    </w:tbl>
    <w:sectPr>
      <w:pgMar w:header="850" w:bottom="1134" w:top="1701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2026-07-09T11:37:07Z</dcterms:modified>
  <cp:category/>
</cp:coreProperties>
</file>