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464" w:hRule="auto"/>
          <w:tblHeader/>
        </w:trPr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(4)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(5)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(6)</w:t>
            </w:r>
          </w:p>
        </w:tc>
      </w:tr>
      <w:tr>
        <w:trPr>
          <w:cantSplit/>
          <w:trHeight w:val="46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Logit</w:t>
            </w:r>
          </w:p>
        </w:tc>
      </w:tr>
      <w:tr>
        <w:trPr>
          <w:cantSplit/>
          <w:trHeight w:val="464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Dependent 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Efficiency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Effectiveness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(0.037)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(0.462)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SMM 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(0.375)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-0.043**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-0.701*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(0.327)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8.358***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(1.320)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-0.061+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(0.530)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(0.333)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 R²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Note: Standard errors in parentheses. + p &lt; .10, * p &lt; .05, ** p &lt; .01, *** p &lt; .001</w:t>
            </w:r>
          </w:p>
        </w:tc>
      </w:tr>
    </w:tbl>
    <w:sectPr>
      <w:pgMar w:header="288" w:bottom="504" w:top="504" w:right="288" w:left="288" w:footer="28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2026-06-23T09:10:41Z</dcterms:modified>
  <cp:category/>
</cp:coreProperties>
</file>