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541" w:rsidRPr="001619EC" w:rsidRDefault="00581BDF" w:rsidP="001619EC">
      <w:pPr>
        <w:jc w:val="center"/>
        <w:rPr>
          <w:rFonts w:ascii="Helvetica" w:hAnsi="Helvetica"/>
          <w:b/>
          <w:color w:val="000000" w:themeColor="text1"/>
          <w:sz w:val="36"/>
        </w:rPr>
      </w:pPr>
      <w:r w:rsidRPr="00581BDF">
        <w:rPr>
          <w:rFonts w:ascii="Helvetica" w:hAnsi="Helvetica"/>
          <w:b/>
          <w:color w:val="000000" w:themeColor="text1"/>
          <w:sz w:val="36"/>
        </w:rPr>
        <w:fldChar w:fldCharType="begin"/>
      </w:r>
      <w:r w:rsidRPr="00581BDF">
        <w:rPr>
          <w:rFonts w:ascii="Helvetica" w:hAnsi="Helvetica"/>
          <w:b/>
          <w:color w:val="000000" w:themeColor="text1"/>
          <w:sz w:val="36"/>
        </w:rPr>
        <w:instrText>HYPERLINK "https://dl.acm.org/doi/10.1145/3318464.3386135"</w:instrText>
      </w:r>
      <w:r w:rsidRPr="00581BDF">
        <w:rPr>
          <w:rFonts w:ascii="Helvetica" w:hAnsi="Helvetica"/>
          <w:b/>
          <w:color w:val="000000" w:themeColor="text1"/>
          <w:sz w:val="36"/>
        </w:rPr>
      </w:r>
      <w:r w:rsidRPr="00581BDF">
        <w:rPr>
          <w:rFonts w:ascii="Helvetica" w:hAnsi="Helvetica"/>
          <w:b/>
          <w:color w:val="000000" w:themeColor="text1"/>
          <w:sz w:val="36"/>
        </w:rPr>
        <w:fldChar w:fldCharType="separate"/>
      </w:r>
      <w:r w:rsidR="00D6301F" w:rsidRPr="00581BDF">
        <w:rPr>
          <w:rStyle w:val="Hyperlink"/>
          <w:rFonts w:ascii="Helvetica" w:hAnsi="Helvetica"/>
          <w:b/>
          <w:color w:val="000000" w:themeColor="text1"/>
          <w:sz w:val="36"/>
          <w:u w:val="none"/>
        </w:rPr>
        <w:t>A1: A Distributed In-Memory Graph Database</w:t>
      </w:r>
      <w:r w:rsidRPr="00581BDF">
        <w:rPr>
          <w:rFonts w:ascii="Helvetica" w:hAnsi="Helvetica"/>
          <w:b/>
          <w:color w:val="000000" w:themeColor="text1"/>
          <w:sz w:val="36"/>
        </w:rPr>
        <w:fldChar w:fldCharType="end"/>
      </w:r>
    </w:p>
    <w:p w:rsidR="00565F49" w:rsidRDefault="0035307C" w:rsidP="00D6301F">
      <w:pPr>
        <w:jc w:val="center"/>
        <w:rPr>
          <w:rFonts w:ascii="Cambria Math" w:hAnsi="Cambria Math" w:cs="Cambria Math"/>
        </w:rPr>
      </w:pPr>
      <w:proofErr w:type="spellStart"/>
      <w:r>
        <w:t>Chiranjeeb</w:t>
      </w:r>
      <w:proofErr w:type="spellEnd"/>
      <w:r>
        <w:t xml:space="preserve"> </w:t>
      </w:r>
      <w:proofErr w:type="spellStart"/>
      <w:r>
        <w:t>Buragohain</w:t>
      </w:r>
      <w:proofErr w:type="spellEnd"/>
      <w:r>
        <w:t xml:space="preserve">, Knut </w:t>
      </w:r>
      <w:proofErr w:type="spellStart"/>
      <w:r>
        <w:t>Magne</w:t>
      </w:r>
      <w:proofErr w:type="spellEnd"/>
      <w:r>
        <w:t xml:space="preserve"> </w:t>
      </w:r>
      <w:proofErr w:type="spellStart"/>
      <w:r>
        <w:t>Risvik</w:t>
      </w:r>
      <w:proofErr w:type="spellEnd"/>
      <w:r>
        <w:t xml:space="preserve">, Paul Brett, Miguel Castro, </w:t>
      </w:r>
      <w:proofErr w:type="spellStart"/>
      <w:r>
        <w:t>Wonhee</w:t>
      </w:r>
      <w:proofErr w:type="spellEnd"/>
      <w:r>
        <w:t xml:space="preserve"> Cho, Joshua </w:t>
      </w:r>
      <w:proofErr w:type="spellStart"/>
      <w:r>
        <w:t>Cowhig</w:t>
      </w:r>
      <w:proofErr w:type="spellEnd"/>
      <w:r>
        <w:t xml:space="preserve">, Nikolas </w:t>
      </w:r>
      <w:proofErr w:type="spellStart"/>
      <w:r>
        <w:t>Gloy</w:t>
      </w:r>
      <w:proofErr w:type="spellEnd"/>
      <w:r>
        <w:t xml:space="preserve">, Karthik </w:t>
      </w:r>
      <w:proofErr w:type="spellStart"/>
      <w:r>
        <w:t>Kalyanaraman</w:t>
      </w:r>
      <w:proofErr w:type="spellEnd"/>
      <w:r>
        <w:t xml:space="preserve">, </w:t>
      </w:r>
      <w:proofErr w:type="spellStart"/>
      <w:r>
        <w:t>Richendra</w:t>
      </w:r>
      <w:proofErr w:type="spellEnd"/>
      <w:r>
        <w:t xml:space="preserve"> Khanna, John Pao, Matthew </w:t>
      </w:r>
      <w:proofErr w:type="spellStart"/>
      <w:r>
        <w:t>Renzelmann</w:t>
      </w:r>
      <w:proofErr w:type="spellEnd"/>
      <w:r>
        <w:t xml:space="preserve">, Alex </w:t>
      </w:r>
      <w:proofErr w:type="spellStart"/>
      <w:r>
        <w:t>Shamis</w:t>
      </w:r>
      <w:proofErr w:type="spellEnd"/>
      <w:r>
        <w:t xml:space="preserve">, Timothy Tan, </w:t>
      </w:r>
      <w:proofErr w:type="spellStart"/>
      <w:r>
        <w:t>Shuheng</w:t>
      </w:r>
      <w:proofErr w:type="spellEnd"/>
      <w:r>
        <w:t xml:space="preserve"> Zheng</w:t>
      </w:r>
    </w:p>
    <w:p w:rsidR="0035307C" w:rsidRDefault="0035307C" w:rsidP="00D6301F">
      <w:pPr>
        <w:jc w:val="center"/>
      </w:pPr>
      <w:r>
        <w:t xml:space="preserve"> Microsoft</w:t>
      </w:r>
    </w:p>
    <w:p w:rsidR="00B246F1" w:rsidRDefault="00B246F1" w:rsidP="00742769">
      <w:pPr>
        <w:jc w:val="center"/>
        <w:rPr>
          <w:sz w:val="16"/>
        </w:rPr>
      </w:pPr>
      <w:r w:rsidRPr="00CF1CEF">
        <w:rPr>
          <w:sz w:val="16"/>
        </w:rPr>
        <w:t>In Proceedings of the 2020 ACM SIGMOD</w:t>
      </w:r>
    </w:p>
    <w:p w:rsidR="00DE2584" w:rsidRDefault="00DE2584" w:rsidP="00742769">
      <w:pPr>
        <w:jc w:val="center"/>
        <w:sectPr w:rsidR="00DE2584" w:rsidSect="003B4153">
          <w:footerReference w:type="even" r:id="rId7"/>
          <w:pgSz w:w="12240" w:h="15840" w:code="1"/>
          <w:pgMar w:top="1080" w:right="1080" w:bottom="1440" w:left="1080" w:header="720" w:footer="720" w:gutter="0"/>
          <w:cols w:space="720"/>
        </w:sectPr>
      </w:pPr>
    </w:p>
    <w:p w:rsidR="008B197E" w:rsidRDefault="008B197E">
      <w:pPr>
        <w:pStyle w:val="E-Mail"/>
        <w:rPr>
          <w:spacing w:val="-2"/>
        </w:rPr>
      </w:pPr>
    </w:p>
    <w:p w:rsidR="008B197E" w:rsidRPr="008C4145" w:rsidRDefault="000563B0" w:rsidP="00E62E91">
      <w:pPr>
        <w:pStyle w:val="E-Mail"/>
        <w:rPr>
          <w:sz w:val="20"/>
          <w:lang w:eastAsia="zh-TW"/>
        </w:rPr>
        <w:sectPr w:rsidR="008B197E" w:rsidRPr="008C4145" w:rsidSect="003B4153">
          <w:type w:val="continuous"/>
          <w:pgSz w:w="12240" w:h="15840" w:code="1"/>
          <w:pgMar w:top="1080" w:right="1080" w:bottom="1440" w:left="1080" w:header="720" w:footer="720" w:gutter="0"/>
          <w:cols w:num="3" w:space="0"/>
        </w:sectPr>
      </w:pPr>
      <w:proofErr w:type="spellStart"/>
      <w:r w:rsidRPr="008C4145">
        <w:rPr>
          <w:rFonts w:ascii="Times New Roman" w:hAnsi="Times New Roman"/>
          <w:sz w:val="20"/>
          <w:lang w:eastAsia="zh-TW"/>
        </w:rPr>
        <w:t>Chih-Chuan</w:t>
      </w:r>
      <w:proofErr w:type="spellEnd"/>
      <w:r w:rsidRPr="008C4145">
        <w:rPr>
          <w:rFonts w:ascii="Times New Roman" w:hAnsi="Times New Roman"/>
          <w:sz w:val="20"/>
          <w:lang w:eastAsia="zh-TW"/>
        </w:rPr>
        <w:t xml:space="preserve"> Hsu</w:t>
      </w:r>
      <w:r w:rsidRPr="008C4145">
        <w:rPr>
          <w:sz w:val="20"/>
          <w:lang w:eastAsia="zh-TW"/>
        </w:rPr>
        <w:t xml:space="preserve"> </w:t>
      </w:r>
      <w:r w:rsidRPr="008C4145">
        <w:rPr>
          <w:rFonts w:ascii="BiauKaiTC Regular" w:eastAsia="BiauKaiTC Regular" w:hAnsi="BiauKaiTC Regular" w:hint="eastAsia"/>
          <w:sz w:val="20"/>
          <w:lang w:eastAsia="zh-TW"/>
        </w:rPr>
        <w:t>森林所碩二</w:t>
      </w:r>
      <w:r w:rsidR="009E043B" w:rsidRPr="008C4145">
        <w:rPr>
          <w:rFonts w:ascii="BiauKaiTC Regular" w:eastAsia="BiauKaiTC Regular" w:hAnsi="BiauKaiTC Regular"/>
          <w:sz w:val="20"/>
          <w:lang w:eastAsia="zh-TW"/>
        </w:rPr>
        <w:t>R10625016</w:t>
      </w:r>
    </w:p>
    <w:p w:rsidR="008B197E" w:rsidRDefault="008B197E">
      <w:pPr>
        <w:spacing w:after="0"/>
      </w:pPr>
      <w:r>
        <w:rPr>
          <w:b/>
          <w:sz w:val="24"/>
        </w:rPr>
        <w:t>ABSTRACT</w:t>
      </w:r>
    </w:p>
    <w:p w:rsidR="008B197E" w:rsidRDefault="00490830">
      <w:pPr>
        <w:pStyle w:val="Abstract"/>
      </w:pPr>
      <w:r>
        <w:t>A1</w:t>
      </w:r>
      <w:r w:rsidR="007F2D3F">
        <w:t>, a</w:t>
      </w:r>
      <w:r w:rsidR="00AE25AB">
        <w:t>n</w:t>
      </w:r>
      <w:r w:rsidR="007F2D3F">
        <w:t xml:space="preserve"> in-memory distributed database,</w:t>
      </w:r>
      <w:r>
        <w:t xml:space="preserve"> is designed </w:t>
      </w:r>
      <w:r w:rsidR="00665CFD">
        <w:t xml:space="preserve">based on </w:t>
      </w:r>
      <w:proofErr w:type="spellStart"/>
      <w:r w:rsidR="00665CFD">
        <w:t>FaRM</w:t>
      </w:r>
      <w:proofErr w:type="spellEnd"/>
      <w:r w:rsidR="00665CFD">
        <w:t xml:space="preserve"> (Fast Remote Memory) distributed system, which </w:t>
      </w:r>
      <w:r w:rsidR="00283A57">
        <w:t>integrates</w:t>
      </w:r>
      <w:r w:rsidR="00665CFD">
        <w:t xml:space="preserve"> RDMA (Remote Direct Memory Access) </w:t>
      </w:r>
      <w:r w:rsidR="005933C9">
        <w:t xml:space="preserve">to </w:t>
      </w:r>
      <w:r w:rsidR="000203A5">
        <w:t>facilitate</w:t>
      </w:r>
      <w:r w:rsidR="00665CFD">
        <w:t xml:space="preserve"> </w:t>
      </w:r>
      <w:r w:rsidR="00CE06C3">
        <w:t>high-speed</w:t>
      </w:r>
      <w:r w:rsidR="00044B0E">
        <w:t xml:space="preserve"> data</w:t>
      </w:r>
      <w:r w:rsidR="00754BDD">
        <w:t xml:space="preserve"> access</w:t>
      </w:r>
      <w:r w:rsidR="00464D75">
        <w:t xml:space="preserve">, </w:t>
      </w:r>
      <w:r w:rsidR="007D5EED">
        <w:t>i</w:t>
      </w:r>
      <w:r w:rsidR="00464D75">
        <w:t>n order to support complex queries under latency constraints in Bing search engine</w:t>
      </w:r>
      <w:r w:rsidR="00665CFD">
        <w:t xml:space="preserve">. Due to the higher cost of memory compared to SSD, A1 is designed </w:t>
      </w:r>
      <w:r w:rsidR="00754BDD">
        <w:t>according to</w:t>
      </w:r>
      <w:r w:rsidR="00DE5532">
        <w:t xml:space="preserve"> efficient</w:t>
      </w:r>
      <w:r w:rsidR="00754BDD">
        <w:t xml:space="preserve"> in-memory storage scheduling</w:t>
      </w:r>
      <w:r w:rsidR="008435CD">
        <w:t xml:space="preserve"> and </w:t>
      </w:r>
      <w:r w:rsidR="00754BDD">
        <w:t>data locality</w:t>
      </w:r>
      <w:r w:rsidR="008435CD">
        <w:t>.</w:t>
      </w:r>
      <w:r w:rsidR="006F0AAE">
        <w:t xml:space="preserve"> </w:t>
      </w:r>
      <w:r w:rsidR="005C0377">
        <w:rPr>
          <w:lang w:eastAsia="zh-TW"/>
        </w:rPr>
        <w:t xml:space="preserve">A1 achieves concurrency control </w:t>
      </w:r>
      <w:r w:rsidR="00BB2EBD">
        <w:rPr>
          <w:lang w:eastAsia="zh-TW"/>
        </w:rPr>
        <w:t>through</w:t>
      </w:r>
      <w:r w:rsidR="005C0377">
        <w:rPr>
          <w:lang w:eastAsia="zh-TW"/>
        </w:rPr>
        <w:t xml:space="preserve"> an optimized graph </w:t>
      </w:r>
      <w:r w:rsidR="00912459">
        <w:rPr>
          <w:lang w:eastAsia="zh-TW"/>
        </w:rPr>
        <w:t>abstraction</w:t>
      </w:r>
      <w:r w:rsidR="00372E9C">
        <w:rPr>
          <w:lang w:eastAsia="zh-TW"/>
        </w:rPr>
        <w:t xml:space="preserve"> schema</w:t>
      </w:r>
      <w:r w:rsidR="002C7ABB">
        <w:rPr>
          <w:lang w:eastAsia="zh-TW"/>
        </w:rPr>
        <w:t xml:space="preserve"> </w:t>
      </w:r>
      <w:r w:rsidR="00B6405A">
        <w:rPr>
          <w:lang w:eastAsia="zh-TW"/>
        </w:rPr>
        <w:t xml:space="preserve">and </w:t>
      </w:r>
      <w:r w:rsidR="00DD7D11">
        <w:rPr>
          <w:lang w:eastAsia="zh-TW"/>
        </w:rPr>
        <w:t xml:space="preserve">employs </w:t>
      </w:r>
      <w:r w:rsidR="00184C55">
        <w:rPr>
          <w:lang w:eastAsia="zh-TW"/>
        </w:rPr>
        <w:t>2</w:t>
      </w:r>
      <w:r w:rsidR="004010FE">
        <w:rPr>
          <w:rFonts w:hint="eastAsia"/>
          <w:lang w:eastAsia="zh-TW"/>
        </w:rPr>
        <w:t xml:space="preserve"> </w:t>
      </w:r>
      <w:r w:rsidR="00B6405A">
        <w:rPr>
          <w:lang w:eastAsia="zh-TW"/>
        </w:rPr>
        <w:t xml:space="preserve">recovery </w:t>
      </w:r>
      <w:r w:rsidR="00351C6D">
        <w:rPr>
          <w:lang w:eastAsia="zh-TW"/>
        </w:rPr>
        <w:t>strateg</w:t>
      </w:r>
      <w:r w:rsidR="00184C55">
        <w:rPr>
          <w:lang w:eastAsia="zh-TW"/>
        </w:rPr>
        <w:t>ies</w:t>
      </w:r>
      <w:r w:rsidR="00DD7D11">
        <w:rPr>
          <w:lang w:eastAsia="zh-TW"/>
        </w:rPr>
        <w:t xml:space="preserve"> to ensure data integrity</w:t>
      </w:r>
      <w:r w:rsidR="007257C6">
        <w:rPr>
          <w:lang w:eastAsia="zh-TW"/>
        </w:rPr>
        <w:t>.</w:t>
      </w:r>
    </w:p>
    <w:p w:rsidR="008B197E" w:rsidRDefault="00F8317E">
      <w:pPr>
        <w:pStyle w:val="Heading1"/>
        <w:spacing w:before="120"/>
      </w:pPr>
      <w:r>
        <w:t>Problem Definition</w:t>
      </w:r>
    </w:p>
    <w:p w:rsidR="00581BDF" w:rsidRPr="00581BDF" w:rsidRDefault="009A7A88" w:rsidP="00581BDF">
      <w:pPr>
        <w:rPr>
          <w:lang w:eastAsia="zh-TW"/>
        </w:rPr>
      </w:pPr>
      <w:r>
        <w:rPr>
          <w:lang w:eastAsia="zh-TW"/>
        </w:rPr>
        <w:t xml:space="preserve">To efficiently </w:t>
      </w:r>
      <w:r w:rsidR="002B6A23">
        <w:rPr>
          <w:lang w:eastAsia="zh-TW"/>
        </w:rPr>
        <w:t xml:space="preserve">conduct complex </w:t>
      </w:r>
      <w:r>
        <w:rPr>
          <w:lang w:eastAsia="zh-TW"/>
        </w:rPr>
        <w:t>quer</w:t>
      </w:r>
      <w:r w:rsidR="002B6A23">
        <w:rPr>
          <w:lang w:eastAsia="zh-TW"/>
        </w:rPr>
        <w:t>ies</w:t>
      </w:r>
      <w:r>
        <w:rPr>
          <w:lang w:eastAsia="zh-TW"/>
        </w:rPr>
        <w:t xml:space="preserve"> the data by Bing, they need a </w:t>
      </w:r>
      <w:r w:rsidR="003A0194">
        <w:rPr>
          <w:lang w:eastAsia="zh-TW"/>
        </w:rPr>
        <w:t xml:space="preserve">OLTP </w:t>
      </w:r>
      <w:r>
        <w:rPr>
          <w:rFonts w:hint="eastAsia"/>
          <w:lang w:eastAsia="zh-TW"/>
        </w:rPr>
        <w:t>p</w:t>
      </w:r>
      <w:r>
        <w:rPr>
          <w:lang w:eastAsia="zh-TW"/>
        </w:rPr>
        <w:t>latform to handle large amount of data and obtain strict performance and latency control.</w:t>
      </w:r>
      <w:r w:rsidR="00CA77D7">
        <w:rPr>
          <w:lang w:eastAsia="zh-TW"/>
        </w:rPr>
        <w:t xml:space="preserve"> </w:t>
      </w:r>
    </w:p>
    <w:p w:rsidR="008B197E" w:rsidRDefault="00F8317E">
      <w:pPr>
        <w:pStyle w:val="Heading1"/>
        <w:spacing w:before="120"/>
      </w:pPr>
      <w:r>
        <w:t>Prior Work</w:t>
      </w:r>
    </w:p>
    <w:p w:rsidR="008B197E" w:rsidRDefault="00A84B9B">
      <w:pPr>
        <w:pStyle w:val="BodyTextIndent"/>
        <w:spacing w:after="120"/>
        <w:ind w:firstLine="0"/>
      </w:pPr>
      <w:r>
        <w:t>The Facebook TAO datastore uses graph data model</w:t>
      </w:r>
      <w:r w:rsidR="00BB3C61">
        <w:t xml:space="preserve"> and a two-tier approach </w:t>
      </w:r>
      <w:r w:rsidR="00A40002">
        <w:t xml:space="preserve">with </w:t>
      </w:r>
      <w:r w:rsidR="0059295C">
        <w:t>Memcached</w:t>
      </w:r>
      <w:r w:rsidR="00A40002">
        <w:t xml:space="preserve"> for read-only data</w:t>
      </w:r>
      <w:r>
        <w:t xml:space="preserve"> to </w:t>
      </w:r>
      <w:r w:rsidR="005939EB">
        <w:t>achieve</w:t>
      </w:r>
      <w:r w:rsidR="006A528D">
        <w:t xml:space="preserve"> </w:t>
      </w:r>
      <w:r>
        <w:t xml:space="preserve">low-latency. However, it introduces </w:t>
      </w:r>
      <w:r w:rsidR="00E13497">
        <w:t>three main problems</w:t>
      </w:r>
      <w:r w:rsidR="0086252E">
        <w:t xml:space="preserve">. First, </w:t>
      </w:r>
      <w:r w:rsidR="0098643D">
        <w:t>Memcached uses primitive key-value API with little query capability.</w:t>
      </w:r>
      <w:r w:rsidR="0070490F">
        <w:t xml:space="preserve"> Second, cache only guarantees </w:t>
      </w:r>
      <w:r w:rsidR="006F5615">
        <w:t>eventual consistency.</w:t>
      </w:r>
      <w:r w:rsidR="0065402C">
        <w:t xml:space="preserve"> </w:t>
      </w:r>
      <w:r w:rsidR="00C9764F">
        <w:t xml:space="preserve">Third, </w:t>
      </w:r>
      <w:r w:rsidR="009C4153">
        <w:t>no atomicity for data updates.</w:t>
      </w:r>
      <w:r w:rsidR="00071D3A">
        <w:t xml:space="preserve"> </w:t>
      </w:r>
    </w:p>
    <w:p w:rsidR="008B197E" w:rsidRDefault="00124EC6">
      <w:pPr>
        <w:pStyle w:val="Heading1"/>
        <w:spacing w:before="120"/>
      </w:pPr>
      <w:r>
        <w:t>Solution</w:t>
      </w:r>
    </w:p>
    <w:p w:rsidR="008B197E" w:rsidRDefault="003244DB">
      <w:pPr>
        <w:pStyle w:val="Heading2"/>
        <w:spacing w:before="0"/>
      </w:pPr>
      <w:proofErr w:type="spellStart"/>
      <w:r>
        <w:t>FaRM</w:t>
      </w:r>
      <w:proofErr w:type="spellEnd"/>
    </w:p>
    <w:p w:rsidR="008B197E" w:rsidRDefault="00D31B9C" w:rsidP="00CF1CEF">
      <w:pPr>
        <w:pStyle w:val="BodyTextIndent"/>
        <w:spacing w:after="120"/>
        <w:ind w:firstLine="0"/>
        <w:rPr>
          <w:lang w:eastAsia="zh-TW"/>
        </w:rPr>
      </w:pPr>
      <w:proofErr w:type="spellStart"/>
      <w:r>
        <w:rPr>
          <w:lang w:eastAsia="zh-TW"/>
        </w:rPr>
        <w:t>FaRM</w:t>
      </w:r>
      <w:proofErr w:type="spellEnd"/>
      <w:r>
        <w:rPr>
          <w:lang w:eastAsia="zh-TW"/>
        </w:rPr>
        <w:t xml:space="preserve"> is a transactional distributed in-memory storage system</w:t>
      </w:r>
      <w:r w:rsidR="005A0F6E">
        <w:rPr>
          <w:lang w:eastAsia="zh-TW"/>
        </w:rPr>
        <w:t>, which uses RDMA capable Network Interface Cards</w:t>
      </w:r>
      <w:r w:rsidR="00011DC9">
        <w:rPr>
          <w:lang w:eastAsia="zh-TW"/>
        </w:rPr>
        <w:t xml:space="preserve"> (NIC)</w:t>
      </w:r>
      <w:r w:rsidR="005A0F6E">
        <w:rPr>
          <w:lang w:eastAsia="zh-TW"/>
        </w:rPr>
        <w:t xml:space="preserve">. </w:t>
      </w:r>
      <w:r w:rsidR="00D007C9">
        <w:rPr>
          <w:lang w:eastAsia="zh-TW"/>
        </w:rPr>
        <w:t xml:space="preserve">To lower latency, </w:t>
      </w:r>
      <w:r w:rsidR="005A0F6E">
        <w:rPr>
          <w:lang w:eastAsia="zh-TW"/>
        </w:rPr>
        <w:t xml:space="preserve">RDMA bypasses the OS kernel </w:t>
      </w:r>
      <w:r w:rsidR="001527A6">
        <w:rPr>
          <w:lang w:eastAsia="zh-TW"/>
        </w:rPr>
        <w:t>in the local machine</w:t>
      </w:r>
      <w:r w:rsidR="00011DC9">
        <w:rPr>
          <w:lang w:eastAsia="zh-TW"/>
        </w:rPr>
        <w:t xml:space="preserve"> and accesses memory without utilizing CPU in the remote machine.</w:t>
      </w:r>
      <w:r w:rsidR="002B6A23">
        <w:rPr>
          <w:lang w:eastAsia="zh-TW"/>
        </w:rPr>
        <w:t xml:space="preserve"> A1 </w:t>
      </w:r>
      <w:r w:rsidR="00AB24EF">
        <w:rPr>
          <w:lang w:eastAsia="zh-TW"/>
        </w:rPr>
        <w:t xml:space="preserve">integrates </w:t>
      </w:r>
      <w:proofErr w:type="spellStart"/>
      <w:r w:rsidR="00AB24EF">
        <w:rPr>
          <w:lang w:eastAsia="zh-TW"/>
        </w:rPr>
        <w:t>FaRM</w:t>
      </w:r>
      <w:proofErr w:type="spellEnd"/>
      <w:r w:rsidR="00AB24EF">
        <w:rPr>
          <w:lang w:eastAsia="zh-TW"/>
        </w:rPr>
        <w:t xml:space="preserve"> in a </w:t>
      </w:r>
      <w:r w:rsidR="00D7324E">
        <w:rPr>
          <w:lang w:eastAsia="zh-TW"/>
        </w:rPr>
        <w:t>c</w:t>
      </w:r>
      <w:r w:rsidR="00AB24EF">
        <w:rPr>
          <w:lang w:eastAsia="zh-TW"/>
        </w:rPr>
        <w:t xml:space="preserve">oprocessor </w:t>
      </w:r>
      <w:r w:rsidR="00DA6DC7">
        <w:rPr>
          <w:lang w:eastAsia="zh-TW"/>
        </w:rPr>
        <w:t>m</w:t>
      </w:r>
      <w:r w:rsidR="00AB24EF">
        <w:rPr>
          <w:lang w:eastAsia="zh-TW"/>
        </w:rPr>
        <w:t>odel to share the resources</w:t>
      </w:r>
      <w:r w:rsidR="009E495C">
        <w:rPr>
          <w:lang w:eastAsia="zh-TW"/>
        </w:rPr>
        <w:t xml:space="preserve"> </w:t>
      </w:r>
      <w:r w:rsidR="00A44510">
        <w:rPr>
          <w:lang w:eastAsia="zh-TW"/>
        </w:rPr>
        <w:t>by cooperative multithreading</w:t>
      </w:r>
      <w:r w:rsidR="00AB24EF">
        <w:rPr>
          <w:lang w:eastAsia="zh-TW"/>
        </w:rPr>
        <w:t>, making the</w:t>
      </w:r>
      <w:r w:rsidR="00B30349">
        <w:rPr>
          <w:lang w:eastAsia="zh-TW"/>
        </w:rPr>
        <w:t xml:space="preserve"> synchronous</w:t>
      </w:r>
      <w:r w:rsidR="00AB24EF">
        <w:rPr>
          <w:lang w:eastAsia="zh-TW"/>
        </w:rPr>
        <w:t xml:space="preserve"> illusion</w:t>
      </w:r>
      <w:r w:rsidR="00B30349">
        <w:rPr>
          <w:lang w:eastAsia="zh-TW"/>
        </w:rPr>
        <w:t xml:space="preserve"> with asynchronous </w:t>
      </w:r>
      <w:proofErr w:type="spellStart"/>
      <w:r w:rsidR="00B30349">
        <w:rPr>
          <w:lang w:eastAsia="zh-TW"/>
        </w:rPr>
        <w:t>FaRM</w:t>
      </w:r>
      <w:proofErr w:type="spellEnd"/>
      <w:r w:rsidR="00B30349">
        <w:rPr>
          <w:lang w:eastAsia="zh-TW"/>
        </w:rPr>
        <w:t xml:space="preserve"> API Calls</w:t>
      </w:r>
      <w:r w:rsidR="00E657D1">
        <w:rPr>
          <w:lang w:eastAsia="zh-TW"/>
        </w:rPr>
        <w:t xml:space="preserve">, and </w:t>
      </w:r>
      <w:proofErr w:type="spellStart"/>
      <w:r w:rsidR="004D575B">
        <w:rPr>
          <w:lang w:eastAsia="zh-TW"/>
        </w:rPr>
        <w:t>FaRM</w:t>
      </w:r>
      <w:proofErr w:type="spellEnd"/>
      <w:r w:rsidR="004D575B">
        <w:rPr>
          <w:lang w:eastAsia="zh-TW"/>
        </w:rPr>
        <w:t xml:space="preserve"> defines a set of operations on objects to allocate resources.</w:t>
      </w:r>
    </w:p>
    <w:p w:rsidR="008B197E" w:rsidRDefault="00393F7B">
      <w:pPr>
        <w:pStyle w:val="Heading2"/>
        <w:spacing w:before="120"/>
      </w:pPr>
      <w:r>
        <w:t>Graph</w:t>
      </w:r>
      <w:r w:rsidR="00313871">
        <w:t xml:space="preserve"> Abstraction</w:t>
      </w:r>
    </w:p>
    <w:p w:rsidR="00A24287" w:rsidRDefault="0015342B" w:rsidP="006D6A07">
      <w:r>
        <w:t>A1 adopts graph model with an enforced schema</w:t>
      </w:r>
      <w:r w:rsidR="005B36D1">
        <w:t xml:space="preserve"> as Table 1</w:t>
      </w:r>
      <w:r>
        <w:t>.</w:t>
      </w:r>
      <w:r w:rsidR="009C72D7">
        <w:t xml:space="preserve"> Every vertex and edge must belong to </w:t>
      </w:r>
      <w:r w:rsidR="005F0968">
        <w:t>one of the types defined in the graph.</w:t>
      </w:r>
      <w:r w:rsidR="009D3FD3">
        <w:t xml:space="preserve"> Vertex is stored in 2 </w:t>
      </w:r>
      <w:proofErr w:type="spellStart"/>
      <w:r w:rsidR="009D3FD3">
        <w:t>FaRM</w:t>
      </w:r>
      <w:proofErr w:type="spellEnd"/>
      <w:r w:rsidR="009D3FD3">
        <w:t xml:space="preserve"> objects, one for the header, and the other for </w:t>
      </w:r>
      <w:r w:rsidR="001D1015">
        <w:t xml:space="preserve">the </w:t>
      </w:r>
      <w:r w:rsidR="009D3FD3">
        <w:t xml:space="preserve">data. </w:t>
      </w:r>
      <w:r w:rsidR="00DA0002">
        <w:t xml:space="preserve">The header specifies the outgoing edge list and incoming edge list. </w:t>
      </w:r>
      <w:r w:rsidR="00B91BAE">
        <w:t>The e</w:t>
      </w:r>
      <w:r w:rsidR="009D3FD3">
        <w:t>dge is stored in 3</w:t>
      </w:r>
      <w:r w:rsidR="005D0627">
        <w:t xml:space="preserve"> </w:t>
      </w:r>
      <w:proofErr w:type="spellStart"/>
      <w:r w:rsidR="005D0627">
        <w:t>FaRM</w:t>
      </w:r>
      <w:proofErr w:type="spellEnd"/>
      <w:r w:rsidR="009D3FD3">
        <w:t xml:space="preserve"> objects</w:t>
      </w:r>
      <w:r w:rsidR="00DA0002">
        <w:t>, one for edge data, and the others specify the source vertex and destination vertex.</w:t>
      </w:r>
      <w:r w:rsidR="00DB32D2">
        <w:t xml:space="preserve"> Th</w:t>
      </w:r>
      <w:r w:rsidR="00150E0B">
        <w:t xml:space="preserve">is </w:t>
      </w:r>
      <w:r w:rsidR="00DB32D2">
        <w:t>implementation builds a scalable data structure</w:t>
      </w:r>
      <w:r w:rsidR="00857687">
        <w:t xml:space="preserve"> which supports fast lookup and update</w:t>
      </w:r>
      <w:r w:rsidR="00DB32D2">
        <w:t>.</w:t>
      </w:r>
      <w:r w:rsidR="000B66E9">
        <w:t xml:space="preserve"> For example, a vertex connected with thousands of edges can be flexibl</w:t>
      </w:r>
      <w:r w:rsidR="00723D40">
        <w:t>y updated</w:t>
      </w:r>
      <w:r w:rsidR="000B66E9">
        <w:t xml:space="preserve"> when </w:t>
      </w:r>
      <w:r w:rsidR="00713338">
        <w:t>dele</w:t>
      </w:r>
      <w:r w:rsidR="000B66E9">
        <w:t>ting the other connected vertex</w:t>
      </w:r>
      <w:r w:rsidR="00551A34">
        <w:t xml:space="preserve"> by simply traversed through the edge and delete the edge</w:t>
      </w:r>
      <w:r w:rsidR="00723D40">
        <w:t xml:space="preserve"> in edge object and vertex object.</w:t>
      </w:r>
      <w:r w:rsidR="00D465AF">
        <w:t xml:space="preserve"> T</w:t>
      </w:r>
      <w:r w:rsidR="00F65676">
        <w:t xml:space="preserve">he vertex and corresponding edge list are allocated using locality to </w:t>
      </w:r>
      <w:r w:rsidR="00B656E1">
        <w:t>improve query execution.</w:t>
      </w:r>
    </w:p>
    <w:p w:rsidR="009E4AEF" w:rsidRDefault="009E4AEF" w:rsidP="006D6A07">
      <w:pPr>
        <w:rPr>
          <w:sz w:val="16"/>
          <w:szCs w:val="16"/>
        </w:rPr>
      </w:pPr>
      <w:r w:rsidRPr="00562375">
        <w:rPr>
          <w:sz w:val="16"/>
          <w:szCs w:val="16"/>
        </w:rPr>
        <w:t xml:space="preserve">Table </w:t>
      </w:r>
      <w:r w:rsidRPr="00562375">
        <w:rPr>
          <w:sz w:val="16"/>
          <w:szCs w:val="16"/>
        </w:rPr>
        <w:fldChar w:fldCharType="begin"/>
      </w:r>
      <w:r w:rsidRPr="00562375">
        <w:rPr>
          <w:sz w:val="16"/>
          <w:szCs w:val="16"/>
        </w:rPr>
        <w:instrText xml:space="preserve"> SEQ Table \* ARABIC </w:instrText>
      </w:r>
      <w:r w:rsidRPr="00562375">
        <w:rPr>
          <w:sz w:val="16"/>
          <w:szCs w:val="16"/>
        </w:rPr>
        <w:fldChar w:fldCharType="separate"/>
      </w:r>
      <w:r w:rsidR="00787B9A">
        <w:rPr>
          <w:noProof/>
          <w:sz w:val="16"/>
          <w:szCs w:val="16"/>
        </w:rPr>
        <w:t>1</w:t>
      </w:r>
      <w:r w:rsidRPr="00562375">
        <w:rPr>
          <w:noProof/>
          <w:sz w:val="16"/>
          <w:szCs w:val="16"/>
        </w:rPr>
        <w:fldChar w:fldCharType="end"/>
      </w:r>
      <w:r w:rsidRPr="00562375">
        <w:rPr>
          <w:sz w:val="16"/>
          <w:szCs w:val="16"/>
        </w:rPr>
        <w:t>. Analogy between relational database entities and A1 entities</w:t>
      </w:r>
    </w:p>
    <w:tbl>
      <w:tblPr>
        <w:tblW w:w="4908"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90"/>
        <w:gridCol w:w="992"/>
        <w:gridCol w:w="709"/>
        <w:gridCol w:w="1275"/>
        <w:gridCol w:w="942"/>
      </w:tblGrid>
      <w:tr w:rsidR="009E4AEF" w:rsidTr="002D0533">
        <w:trPr>
          <w:trHeight w:val="191"/>
        </w:trPr>
        <w:tc>
          <w:tcPr>
            <w:tcW w:w="990" w:type="dxa"/>
            <w:vAlign w:val="center"/>
          </w:tcPr>
          <w:p w:rsidR="009E4AEF" w:rsidRDefault="009E4AEF" w:rsidP="002D0533">
            <w:pPr>
              <w:pStyle w:val="BodyTextIndent"/>
              <w:ind w:firstLine="0"/>
              <w:jc w:val="center"/>
              <w:rPr>
                <w:b/>
                <w:bCs/>
              </w:rPr>
            </w:pPr>
            <w:r>
              <w:rPr>
                <w:b/>
                <w:bCs/>
              </w:rPr>
              <w:t>A1</w:t>
            </w:r>
          </w:p>
        </w:tc>
        <w:tc>
          <w:tcPr>
            <w:tcW w:w="992" w:type="dxa"/>
            <w:vAlign w:val="center"/>
          </w:tcPr>
          <w:p w:rsidR="009E4AEF" w:rsidRDefault="009E4AEF" w:rsidP="002D0533">
            <w:pPr>
              <w:pStyle w:val="BodyTextIndent"/>
              <w:ind w:firstLine="0"/>
              <w:jc w:val="center"/>
              <w:rPr>
                <w:b/>
                <w:bCs/>
              </w:rPr>
            </w:pPr>
            <w:r>
              <w:rPr>
                <w:b/>
                <w:bCs/>
              </w:rPr>
              <w:t>Graph</w:t>
            </w:r>
          </w:p>
        </w:tc>
        <w:tc>
          <w:tcPr>
            <w:tcW w:w="709" w:type="dxa"/>
            <w:vAlign w:val="center"/>
          </w:tcPr>
          <w:p w:rsidR="009E4AEF" w:rsidRDefault="009E4AEF" w:rsidP="002D0533">
            <w:pPr>
              <w:pStyle w:val="BodyTextIndent"/>
              <w:ind w:firstLine="0"/>
              <w:jc w:val="center"/>
              <w:rPr>
                <w:b/>
                <w:bCs/>
              </w:rPr>
            </w:pPr>
            <w:r>
              <w:rPr>
                <w:b/>
                <w:bCs/>
              </w:rPr>
              <w:t>Type</w:t>
            </w:r>
          </w:p>
        </w:tc>
        <w:tc>
          <w:tcPr>
            <w:tcW w:w="1275" w:type="dxa"/>
            <w:vAlign w:val="center"/>
          </w:tcPr>
          <w:p w:rsidR="009E4AEF" w:rsidRDefault="009E4AEF" w:rsidP="002D0533">
            <w:pPr>
              <w:pStyle w:val="BodyTextIndent"/>
              <w:ind w:firstLine="0"/>
              <w:jc w:val="center"/>
              <w:rPr>
                <w:b/>
                <w:bCs/>
              </w:rPr>
            </w:pPr>
            <w:r>
              <w:rPr>
                <w:b/>
                <w:bCs/>
              </w:rPr>
              <w:t>Vertex/Edge</w:t>
            </w:r>
          </w:p>
        </w:tc>
        <w:tc>
          <w:tcPr>
            <w:tcW w:w="942" w:type="dxa"/>
            <w:vAlign w:val="center"/>
          </w:tcPr>
          <w:p w:rsidR="009E4AEF" w:rsidRDefault="009E4AEF" w:rsidP="002D0533">
            <w:pPr>
              <w:pStyle w:val="BodyTextIndent"/>
              <w:ind w:firstLine="0"/>
              <w:jc w:val="center"/>
              <w:rPr>
                <w:b/>
                <w:bCs/>
              </w:rPr>
            </w:pPr>
            <w:r>
              <w:rPr>
                <w:b/>
                <w:bCs/>
              </w:rPr>
              <w:t>Attribute</w:t>
            </w:r>
          </w:p>
        </w:tc>
      </w:tr>
      <w:tr w:rsidR="009E4AEF" w:rsidTr="002D0533">
        <w:trPr>
          <w:trHeight w:val="310"/>
        </w:trPr>
        <w:tc>
          <w:tcPr>
            <w:tcW w:w="990" w:type="dxa"/>
            <w:vAlign w:val="center"/>
          </w:tcPr>
          <w:p w:rsidR="009E4AEF" w:rsidRDefault="009E4AEF" w:rsidP="002D0533">
            <w:pPr>
              <w:pStyle w:val="BodyTextIndent"/>
              <w:ind w:firstLine="0"/>
              <w:jc w:val="center"/>
            </w:pPr>
            <w:r>
              <w:t>Relational</w:t>
            </w:r>
          </w:p>
        </w:tc>
        <w:tc>
          <w:tcPr>
            <w:tcW w:w="992" w:type="dxa"/>
            <w:vAlign w:val="center"/>
          </w:tcPr>
          <w:p w:rsidR="009E4AEF" w:rsidRDefault="009E4AEF" w:rsidP="002D0533">
            <w:pPr>
              <w:pStyle w:val="BodyTextIndent"/>
              <w:ind w:firstLine="0"/>
              <w:jc w:val="center"/>
            </w:pPr>
            <w:r>
              <w:t>Database</w:t>
            </w:r>
          </w:p>
        </w:tc>
        <w:tc>
          <w:tcPr>
            <w:tcW w:w="709" w:type="dxa"/>
            <w:vAlign w:val="center"/>
          </w:tcPr>
          <w:p w:rsidR="009E4AEF" w:rsidRDefault="009E4AEF" w:rsidP="002D0533">
            <w:pPr>
              <w:pStyle w:val="BodyTextIndent"/>
              <w:ind w:firstLine="0"/>
              <w:jc w:val="center"/>
            </w:pPr>
            <w:r>
              <w:t>Table</w:t>
            </w:r>
          </w:p>
        </w:tc>
        <w:tc>
          <w:tcPr>
            <w:tcW w:w="1275" w:type="dxa"/>
            <w:vAlign w:val="center"/>
          </w:tcPr>
          <w:p w:rsidR="009E4AEF" w:rsidRDefault="009E4AEF" w:rsidP="002D0533">
            <w:pPr>
              <w:pStyle w:val="BodyTextIndent"/>
              <w:ind w:firstLine="0"/>
              <w:jc w:val="center"/>
            </w:pPr>
            <w:r>
              <w:t>Row</w:t>
            </w:r>
          </w:p>
        </w:tc>
        <w:tc>
          <w:tcPr>
            <w:tcW w:w="942" w:type="dxa"/>
            <w:vAlign w:val="center"/>
          </w:tcPr>
          <w:p w:rsidR="009E4AEF" w:rsidRDefault="009E4AEF" w:rsidP="002D0533">
            <w:pPr>
              <w:pStyle w:val="BodyTextIndent"/>
              <w:ind w:firstLine="0"/>
              <w:jc w:val="center"/>
            </w:pPr>
            <w:r>
              <w:t>Column</w:t>
            </w:r>
          </w:p>
        </w:tc>
      </w:tr>
    </w:tbl>
    <w:p w:rsidR="009E4AEF" w:rsidRPr="006D6A07" w:rsidRDefault="009E4AEF" w:rsidP="006D6A07"/>
    <w:p w:rsidR="008B197E" w:rsidRDefault="00393F7B">
      <w:pPr>
        <w:pStyle w:val="Heading2"/>
        <w:spacing w:before="120"/>
      </w:pPr>
      <w:r>
        <w:t>Query E</w:t>
      </w:r>
      <w:r w:rsidR="0010719D">
        <w:t>xecution</w:t>
      </w:r>
    </w:p>
    <w:p w:rsidR="00857687" w:rsidRPr="00857687" w:rsidRDefault="00727D63" w:rsidP="00857687">
      <w:pPr>
        <w:rPr>
          <w:lang w:eastAsia="zh-TW"/>
        </w:rPr>
      </w:pPr>
      <w:r>
        <w:rPr>
          <w:lang w:eastAsia="zh-TW"/>
        </w:rPr>
        <w:t>A1 aims to handle a large amount of read querie</w:t>
      </w:r>
      <w:r w:rsidR="00772EBF">
        <w:rPr>
          <w:lang w:eastAsia="zh-TW"/>
        </w:rPr>
        <w:t>s</w:t>
      </w:r>
      <w:r w:rsidR="007546DE">
        <w:rPr>
          <w:lang w:eastAsia="zh-TW"/>
        </w:rPr>
        <w:t xml:space="preserve"> efficiently</w:t>
      </w:r>
      <w:r w:rsidR="00772EBF">
        <w:rPr>
          <w:lang w:eastAsia="zh-TW"/>
        </w:rPr>
        <w:t xml:space="preserve">, </w:t>
      </w:r>
      <w:r>
        <w:rPr>
          <w:lang w:eastAsia="zh-TW"/>
        </w:rPr>
        <w:t>and distribute update queries to the random backend machine.</w:t>
      </w:r>
      <w:r w:rsidR="001E0D3F">
        <w:rPr>
          <w:lang w:eastAsia="zh-TW"/>
        </w:rPr>
        <w:t xml:space="preserve"> Every query is formatted as a J</w:t>
      </w:r>
      <w:r w:rsidR="00A15096">
        <w:rPr>
          <w:lang w:eastAsia="zh-TW"/>
        </w:rPr>
        <w:t>SON</w:t>
      </w:r>
      <w:r w:rsidR="00EB1DD0">
        <w:rPr>
          <w:lang w:eastAsia="zh-TW"/>
        </w:rPr>
        <w:t xml:space="preserve"> document</w:t>
      </w:r>
      <w:r w:rsidR="00BE3282">
        <w:rPr>
          <w:lang w:eastAsia="zh-TW"/>
        </w:rPr>
        <w:t>, which can explicitly specify the traversal</w:t>
      </w:r>
      <w:r w:rsidR="006A47F6">
        <w:rPr>
          <w:lang w:eastAsia="zh-TW"/>
        </w:rPr>
        <w:t xml:space="preserve"> h</w:t>
      </w:r>
      <w:r w:rsidR="00AA216D">
        <w:rPr>
          <w:lang w:eastAsia="zh-TW"/>
        </w:rPr>
        <w:t>i</w:t>
      </w:r>
      <w:r w:rsidR="006A47F6">
        <w:rPr>
          <w:lang w:eastAsia="zh-TW"/>
        </w:rPr>
        <w:t>erarchy</w:t>
      </w:r>
      <w:r w:rsidR="00BE3282">
        <w:rPr>
          <w:lang w:eastAsia="zh-TW"/>
        </w:rPr>
        <w:t xml:space="preserve"> through edges.</w:t>
      </w:r>
      <w:r w:rsidR="00F65676">
        <w:rPr>
          <w:lang w:eastAsia="zh-TW"/>
        </w:rPr>
        <w:t xml:space="preserve"> </w:t>
      </w:r>
      <w:r w:rsidR="00316964">
        <w:rPr>
          <w:lang w:eastAsia="zh-TW"/>
        </w:rPr>
        <w:t xml:space="preserve">For a query process, the query coordinator will assign the jobs to different </w:t>
      </w:r>
      <w:proofErr w:type="spellStart"/>
      <w:r w:rsidR="00316964">
        <w:rPr>
          <w:lang w:eastAsia="zh-TW"/>
        </w:rPr>
        <w:t>FaRM</w:t>
      </w:r>
      <w:proofErr w:type="spellEnd"/>
      <w:r w:rsidR="00316964">
        <w:rPr>
          <w:lang w:eastAsia="zh-TW"/>
        </w:rPr>
        <w:t xml:space="preserve"> workers to parallelly execute, </w:t>
      </w:r>
      <w:r w:rsidR="004C3F8C">
        <w:rPr>
          <w:lang w:eastAsia="zh-TW"/>
        </w:rPr>
        <w:t>and the coordinator will aggregate the result of queries from different workers.</w:t>
      </w:r>
      <w:r w:rsidR="00313871">
        <w:rPr>
          <w:lang w:eastAsia="zh-TW"/>
        </w:rPr>
        <w:t xml:space="preserve"> </w:t>
      </w:r>
      <w:r w:rsidR="00A15F7F">
        <w:rPr>
          <w:lang w:eastAsia="zh-TW"/>
        </w:rPr>
        <w:t>C</w:t>
      </w:r>
      <w:r w:rsidR="00313871">
        <w:rPr>
          <w:lang w:eastAsia="zh-TW"/>
        </w:rPr>
        <w:t xml:space="preserve">oordinator </w:t>
      </w:r>
      <w:r w:rsidR="00C90582">
        <w:rPr>
          <w:lang w:eastAsia="zh-TW"/>
        </w:rPr>
        <w:t>will communicate with backend workers</w:t>
      </w:r>
      <w:r w:rsidR="00336252">
        <w:rPr>
          <w:lang w:eastAsia="zh-TW"/>
        </w:rPr>
        <w:t xml:space="preserve"> </w:t>
      </w:r>
      <w:r w:rsidR="00313871">
        <w:rPr>
          <w:lang w:eastAsia="zh-TW"/>
        </w:rPr>
        <w:t>through</w:t>
      </w:r>
      <w:r w:rsidR="00794D24">
        <w:rPr>
          <w:lang w:eastAsia="zh-TW"/>
        </w:rPr>
        <w:t xml:space="preserve"> </w:t>
      </w:r>
      <w:r w:rsidR="00794D24">
        <w:rPr>
          <w:lang w:eastAsia="zh-TW"/>
        </w:rPr>
        <w:t>RPC</w:t>
      </w:r>
      <w:r w:rsidR="00794D24">
        <w:rPr>
          <w:lang w:eastAsia="zh-TW"/>
        </w:rPr>
        <w:t xml:space="preserve"> (</w:t>
      </w:r>
      <w:r w:rsidR="00313871">
        <w:rPr>
          <w:lang w:eastAsia="zh-TW"/>
        </w:rPr>
        <w:t>Remote Procedure Call)</w:t>
      </w:r>
      <w:r w:rsidR="009A619E">
        <w:rPr>
          <w:lang w:eastAsia="zh-TW"/>
        </w:rPr>
        <w:t>, and assign the work including specific vertexes to the hosting machine.</w:t>
      </w:r>
    </w:p>
    <w:p w:rsidR="008B197E" w:rsidRDefault="007F385F">
      <w:pPr>
        <w:pStyle w:val="Heading2"/>
        <w:spacing w:before="120"/>
        <w:rPr>
          <w:rFonts w:hint="eastAsia"/>
          <w:lang w:eastAsia="zh-TW"/>
        </w:rPr>
      </w:pPr>
      <w:r>
        <w:t>Recovery</w:t>
      </w:r>
      <w:r w:rsidR="00866330">
        <w:t xml:space="preserve"> </w:t>
      </w:r>
      <w:r w:rsidR="00866330">
        <w:rPr>
          <w:lang w:eastAsia="zh-TW"/>
        </w:rPr>
        <w:t>Strategy</w:t>
      </w:r>
    </w:p>
    <w:p w:rsidR="008B197E" w:rsidRDefault="000C2D61">
      <w:pPr>
        <w:pStyle w:val="BodyTextIndent"/>
        <w:ind w:firstLine="0"/>
        <w:rPr>
          <w:lang w:eastAsia="zh-TW"/>
        </w:rPr>
      </w:pPr>
      <w:r>
        <w:rPr>
          <w:lang w:eastAsia="zh-TW"/>
        </w:rPr>
        <w:t xml:space="preserve">A1 replicates data in memory 3-ways. However, A1 replicates data asynchronously, and it may not commit all the rights when the disaster occurs. </w:t>
      </w:r>
      <w:r w:rsidR="00CC4EA4">
        <w:rPr>
          <w:lang w:eastAsia="zh-TW"/>
        </w:rPr>
        <w:t>To address the problem, A1 leverages two strategies, consistent recovery and best-effort recovery. For consistent recovery,</w:t>
      </w:r>
      <w:r w:rsidR="00E96BFF">
        <w:rPr>
          <w:lang w:eastAsia="zh-TW"/>
        </w:rPr>
        <w:t xml:space="preserve"> </w:t>
      </w:r>
      <w:r w:rsidR="00CC4EA4">
        <w:rPr>
          <w:lang w:eastAsia="zh-TW"/>
        </w:rPr>
        <w:t>A1 fulfills atomicity</w:t>
      </w:r>
      <w:r w:rsidR="00E96BFF">
        <w:rPr>
          <w:lang w:eastAsia="zh-TW"/>
        </w:rPr>
        <w:t xml:space="preserve">. For best-effort recovery, A1 </w:t>
      </w:r>
      <w:r w:rsidR="00D428E5">
        <w:rPr>
          <w:lang w:eastAsia="zh-TW"/>
        </w:rPr>
        <w:t>at least recovers the data as up to date as consistent recovery, and more up to date at most of the time</w:t>
      </w:r>
      <w:r w:rsidR="00632C47">
        <w:rPr>
          <w:lang w:eastAsia="zh-TW"/>
        </w:rPr>
        <w:t xml:space="preserve"> based on the timestamp. For example, best-effort recovery will check if the upcoming update timestamp is older than the current update. If yes, then discards it. In the update is newer, </w:t>
      </w:r>
      <w:r w:rsidR="00666F4A">
        <w:rPr>
          <w:lang w:eastAsia="zh-TW"/>
        </w:rPr>
        <w:t>then conduct it.</w:t>
      </w:r>
    </w:p>
    <w:p w:rsidR="008B197E" w:rsidRDefault="008B197E">
      <w:pPr>
        <w:pStyle w:val="BodyTextIndent"/>
        <w:ind w:firstLine="0"/>
        <w:rPr>
          <w:rFonts w:hint="eastAsia"/>
          <w:lang w:eastAsia="zh-TW"/>
        </w:rPr>
      </w:pPr>
    </w:p>
    <w:p w:rsidR="008B197E" w:rsidRDefault="008556B0">
      <w:pPr>
        <w:pStyle w:val="Heading1"/>
        <w:spacing w:before="120"/>
      </w:pPr>
      <w:r>
        <w:t>Results</w:t>
      </w:r>
    </w:p>
    <w:p w:rsidR="006D3144" w:rsidRPr="006D3144" w:rsidRDefault="005274BD" w:rsidP="006D3144">
      <w:r>
        <w:t xml:space="preserve">Bing uses A1 to support knowledge graph usage. </w:t>
      </w:r>
      <w:r w:rsidR="00C679C2">
        <w:t xml:space="preserve">With the increasing types of knowledge graph, A1 schedule their storage by allowing only </w:t>
      </w:r>
      <w:proofErr w:type="spellStart"/>
      <w:r w:rsidR="00C679C2">
        <w:t>queryable</w:t>
      </w:r>
      <w:proofErr w:type="spellEnd"/>
      <w:r w:rsidR="00C679C2">
        <w:t xml:space="preserve"> attributes to be stored in A1, while non-</w:t>
      </w:r>
      <w:proofErr w:type="spellStart"/>
      <w:r w:rsidR="00C679C2">
        <w:t>queryable</w:t>
      </w:r>
      <w:proofErr w:type="spellEnd"/>
      <w:r w:rsidR="00C679C2">
        <w:t xml:space="preserve"> attributes such as image data are stored elsewhere.</w:t>
      </w:r>
      <w:r w:rsidR="007936F3">
        <w:t xml:space="preserve"> </w:t>
      </w:r>
      <w:r w:rsidR="002D2DCB">
        <w:t xml:space="preserve">Based on this, </w:t>
      </w:r>
      <w:r w:rsidR="00EC62C8">
        <w:t>A1</w:t>
      </w:r>
      <w:r w:rsidR="00C14262">
        <w:t xml:space="preserve"> achieve a shipping of </w:t>
      </w:r>
      <w:r w:rsidR="0050312F">
        <w:t xml:space="preserve">more than </w:t>
      </w:r>
      <w:r w:rsidR="00C14262">
        <w:t xml:space="preserve">95% of local reads to </w:t>
      </w:r>
      <w:r w:rsidR="0050312F">
        <w:t>workers</w:t>
      </w:r>
      <w:r w:rsidR="00E42161">
        <w:t>.</w:t>
      </w:r>
      <w:r w:rsidR="000D6C12">
        <w:t xml:space="preserve"> Also, A1 improves the average latency of knowledge serving system by 3.6X.</w:t>
      </w:r>
    </w:p>
    <w:p w:rsidR="002D2C9C" w:rsidRDefault="0098003A" w:rsidP="00A06F6B">
      <w:pPr>
        <w:pStyle w:val="Heading1"/>
        <w:spacing w:before="120"/>
      </w:pPr>
      <w:r>
        <w:t>Critique</w:t>
      </w:r>
    </w:p>
    <w:p w:rsidR="006D7A6A" w:rsidRPr="006D7A6A" w:rsidRDefault="006338E2" w:rsidP="006D7A6A">
      <w:pPr>
        <w:rPr>
          <w:lang w:eastAsia="zh-TW"/>
        </w:rPr>
      </w:pPr>
      <w:r>
        <w:rPr>
          <w:lang w:eastAsia="zh-TW"/>
        </w:rPr>
        <w:t xml:space="preserve">The most impressing part of A1 is the </w:t>
      </w:r>
      <w:r w:rsidR="00D65838">
        <w:rPr>
          <w:lang w:eastAsia="zh-TW"/>
        </w:rPr>
        <w:t>graph data model design</w:t>
      </w:r>
      <w:r w:rsidR="00EB66F7">
        <w:rPr>
          <w:lang w:eastAsia="zh-TW"/>
        </w:rPr>
        <w:t xml:space="preserve">. </w:t>
      </w:r>
      <w:r w:rsidR="00017AB1">
        <w:rPr>
          <w:lang w:eastAsia="zh-TW"/>
        </w:rPr>
        <w:t xml:space="preserve">In a search engine such Bing, the entity may be linked to </w:t>
      </w:r>
      <w:r w:rsidR="00BB29BB">
        <w:rPr>
          <w:lang w:eastAsia="zh-TW"/>
        </w:rPr>
        <w:t>lots of</w:t>
      </w:r>
      <w:r w:rsidR="00017AB1">
        <w:rPr>
          <w:lang w:eastAsia="zh-TW"/>
        </w:rPr>
        <w:t xml:space="preserve"> entities. </w:t>
      </w:r>
      <w:r w:rsidR="007D2E7D">
        <w:rPr>
          <w:lang w:eastAsia="zh-TW"/>
        </w:rPr>
        <w:t xml:space="preserve">If we use relational database, it will be a huge burden to make the query using thousands of foreign </w:t>
      </w:r>
      <w:r w:rsidR="002131D8">
        <w:rPr>
          <w:lang w:eastAsia="zh-TW"/>
        </w:rPr>
        <w:t>keys</w:t>
      </w:r>
      <w:r w:rsidR="00A77F43">
        <w:rPr>
          <w:lang w:eastAsia="zh-TW"/>
        </w:rPr>
        <w:t xml:space="preserve"> and cause high latency.</w:t>
      </w:r>
      <w:r w:rsidR="002131D8">
        <w:rPr>
          <w:lang w:eastAsia="zh-TW"/>
        </w:rPr>
        <w:t xml:space="preserve"> Second, the problem definition of certain implementations in A1 is appealing. For example, they don’t want to focus on the large queries which exceeds the memory storage, and they will simply fail that query. They explain the goal of A1 is to handle complex queries instead of </w:t>
      </w:r>
      <w:r w:rsidR="00A04474">
        <w:rPr>
          <w:lang w:eastAsia="zh-TW"/>
        </w:rPr>
        <w:t>large working set.</w:t>
      </w:r>
      <w:r w:rsidR="000A6275">
        <w:rPr>
          <w:lang w:eastAsia="zh-TW"/>
        </w:rPr>
        <w:t xml:space="preserve"> </w:t>
      </w:r>
      <w:r w:rsidR="00AB1A04">
        <w:rPr>
          <w:lang w:eastAsia="zh-TW"/>
        </w:rPr>
        <w:t>T</w:t>
      </w:r>
      <w:r w:rsidR="00580DCC">
        <w:rPr>
          <w:lang w:eastAsia="zh-TW"/>
        </w:rPr>
        <w:t xml:space="preserve">he </w:t>
      </w:r>
      <w:r w:rsidR="00AB1A04">
        <w:rPr>
          <w:lang w:eastAsia="zh-TW"/>
        </w:rPr>
        <w:t>low-latency goal</w:t>
      </w:r>
      <w:r w:rsidR="009A5E0F">
        <w:rPr>
          <w:lang w:eastAsia="zh-TW"/>
        </w:rPr>
        <w:t xml:space="preserve"> is clear in their design</w:t>
      </w:r>
      <w:r w:rsidR="006F5BA3">
        <w:rPr>
          <w:lang w:eastAsia="zh-TW"/>
        </w:rPr>
        <w:t>, and that is the most difficult part to schedule.</w:t>
      </w:r>
    </w:p>
    <w:p w:rsidR="008B197E" w:rsidRDefault="00B054F2">
      <w:pPr>
        <w:pStyle w:val="Heading1"/>
        <w:spacing w:before="120"/>
      </w:pPr>
      <w:r>
        <w:t>Extension</w:t>
      </w:r>
    </w:p>
    <w:p w:rsidR="003A7DD6" w:rsidRDefault="00E807E2" w:rsidP="003A7DD6">
      <w:r>
        <w:t xml:space="preserve">First, </w:t>
      </w:r>
      <w:r w:rsidR="00B41239">
        <w:t>A1 lacks a query optimizer</w:t>
      </w:r>
      <w:r w:rsidR="009B3CE4">
        <w:t xml:space="preserve">, </w:t>
      </w:r>
      <w:r w:rsidR="006E5CE7">
        <w:t>which is worth designing</w:t>
      </w:r>
      <w:r w:rsidR="009B3CE4">
        <w:t>.</w:t>
      </w:r>
      <w:r w:rsidR="00BC680E">
        <w:t xml:space="preserve"> </w:t>
      </w:r>
      <w:r w:rsidR="008C7D39">
        <w:t>Second</w:t>
      </w:r>
      <w:r w:rsidR="00207BC9">
        <w:t xml:space="preserve">, </w:t>
      </w:r>
      <w:r w:rsidR="00DC7AD5">
        <w:t>the mapping of users’ queries to A1QL queries is a black-box in this paper, and using machine learning to calculate similarity to improve database query performance would be a new advantage</w:t>
      </w:r>
      <w:r w:rsidR="00E40D6D">
        <w:t xml:space="preserve"> </w:t>
      </w:r>
      <w:r w:rsidR="00930684">
        <w:t>f</w:t>
      </w:r>
      <w:r w:rsidR="00E40D6D">
        <w:t>or A1.</w:t>
      </w:r>
      <w:r w:rsidR="00760C1E">
        <w:t xml:space="preserve"> Following the scheduling of large query set, </w:t>
      </w:r>
      <w:r w:rsidR="009772D5">
        <w:t xml:space="preserve">we may </w:t>
      </w:r>
      <w:r w:rsidR="008A1C19">
        <w:t>tailor</w:t>
      </w:r>
      <w:r w:rsidR="009772D5">
        <w:t xml:space="preserve"> on a system integrating A1 and a new system to handle large query set.</w:t>
      </w:r>
      <w:r w:rsidR="00720BDD">
        <w:t xml:space="preserve"> Both complex and large queries can be handled.</w:t>
      </w:r>
    </w:p>
    <w:p w:rsidR="00193A33" w:rsidRDefault="00193A33" w:rsidP="003A7DD6"/>
    <w:p w:rsidR="00193A33" w:rsidRPr="003A7DD6" w:rsidRDefault="00193A33" w:rsidP="003A7DD6"/>
    <w:p w:rsidR="000D5AB3" w:rsidRDefault="000D5AB3" w:rsidP="00E523EF">
      <w:pPr>
        <w:pStyle w:val="Heading1"/>
        <w:numPr>
          <w:ilvl w:val="0"/>
          <w:numId w:val="0"/>
        </w:numPr>
        <w:spacing w:before="120"/>
      </w:pPr>
    </w:p>
    <w:p w:rsidR="008B197E" w:rsidRDefault="008B197E" w:rsidP="003645E6">
      <w:pPr>
        <w:pStyle w:val="Heading1"/>
        <w:spacing w:before="120"/>
      </w:pPr>
      <w:r>
        <w:t xml:space="preserve">REFERENCES </w:t>
      </w:r>
    </w:p>
    <w:p w:rsidR="008B197E" w:rsidRDefault="006A044B" w:rsidP="0012509A">
      <w:pPr>
        <w:pStyle w:val="References"/>
        <w:sectPr w:rsidR="008B197E" w:rsidSect="003B4153">
          <w:type w:val="continuous"/>
          <w:pgSz w:w="12240" w:h="15840" w:code="1"/>
          <w:pgMar w:top="1080" w:right="1080" w:bottom="1440" w:left="1080" w:header="720" w:footer="720" w:gutter="0"/>
          <w:cols w:num="2" w:space="475"/>
        </w:sectPr>
      </w:pPr>
      <w:r>
        <w:t xml:space="preserve">Fröhlich, B. and Plate, J. 2000. The cubic mouse: a new device for three-dimensional input. In </w:t>
      </w:r>
      <w:r>
        <w:rPr>
          <w:i/>
          <w:iCs/>
        </w:rPr>
        <w:t xml:space="preserve">Proceedings of the SIGCHI Conference on Human Factors in </w:t>
      </w:r>
      <w:proofErr w:type="spellStart"/>
      <w:r>
        <w:rPr>
          <w:i/>
          <w:iCs/>
        </w:rPr>
        <w:t>Comput</w:t>
      </w:r>
      <w:proofErr w:type="spellEnd"/>
    </w:p>
    <w:p w:rsidR="008B197E" w:rsidRDefault="008B197E" w:rsidP="002734D2">
      <w:pPr>
        <w:pStyle w:val="Paper-Title"/>
        <w:tabs>
          <w:tab w:val="left" w:pos="3224"/>
        </w:tabs>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22EC" w:rsidRDefault="00FC22EC">
      <w:r>
        <w:separator/>
      </w:r>
    </w:p>
  </w:endnote>
  <w:endnote w:type="continuationSeparator" w:id="0">
    <w:p w:rsidR="00FC22EC" w:rsidRDefault="00FC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BiauKaiTC Regular">
    <w:panose1 w:val="03000500000000000000"/>
    <w:charset w:val="88"/>
    <w:family w:val="script"/>
    <w:pitch w:val="variable"/>
    <w:sig w:usb0="800000E3" w:usb1="38CFFD7A" w:usb2="00000016" w:usb3="00000000" w:csb0="0010000D"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22EC" w:rsidRDefault="00FC22EC">
      <w:r>
        <w:separator/>
      </w:r>
    </w:p>
  </w:footnote>
  <w:footnote w:type="continuationSeparator" w:id="0">
    <w:p w:rsidR="00FC22EC" w:rsidRDefault="00FC2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76981907">
    <w:abstractNumId w:val="0"/>
  </w:num>
  <w:num w:numId="2" w16cid:durableId="1977367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10A3"/>
    <w:rsid w:val="00011DC9"/>
    <w:rsid w:val="00011FD5"/>
    <w:rsid w:val="00016D54"/>
    <w:rsid w:val="00017AB1"/>
    <w:rsid w:val="000203A5"/>
    <w:rsid w:val="00023668"/>
    <w:rsid w:val="000355F6"/>
    <w:rsid w:val="00044B0E"/>
    <w:rsid w:val="000563B0"/>
    <w:rsid w:val="00071D3A"/>
    <w:rsid w:val="000861F9"/>
    <w:rsid w:val="00087123"/>
    <w:rsid w:val="00093444"/>
    <w:rsid w:val="0009634A"/>
    <w:rsid w:val="000A6043"/>
    <w:rsid w:val="000A6275"/>
    <w:rsid w:val="000B66E9"/>
    <w:rsid w:val="000C2D61"/>
    <w:rsid w:val="000D4532"/>
    <w:rsid w:val="000D5AB3"/>
    <w:rsid w:val="000D6C12"/>
    <w:rsid w:val="0010719D"/>
    <w:rsid w:val="00111805"/>
    <w:rsid w:val="00114272"/>
    <w:rsid w:val="001244EF"/>
    <w:rsid w:val="00124EC6"/>
    <w:rsid w:val="0012509A"/>
    <w:rsid w:val="001378B9"/>
    <w:rsid w:val="0014549B"/>
    <w:rsid w:val="00150E0B"/>
    <w:rsid w:val="001527A6"/>
    <w:rsid w:val="0015342B"/>
    <w:rsid w:val="001578EE"/>
    <w:rsid w:val="001619EC"/>
    <w:rsid w:val="00172159"/>
    <w:rsid w:val="0018430D"/>
    <w:rsid w:val="00184C55"/>
    <w:rsid w:val="001934DA"/>
    <w:rsid w:val="00193A33"/>
    <w:rsid w:val="001A16DD"/>
    <w:rsid w:val="001D1015"/>
    <w:rsid w:val="001E0D3F"/>
    <w:rsid w:val="001E4A9D"/>
    <w:rsid w:val="00206035"/>
    <w:rsid w:val="00207BC9"/>
    <w:rsid w:val="002131D8"/>
    <w:rsid w:val="00213FF0"/>
    <w:rsid w:val="0022010F"/>
    <w:rsid w:val="002450D9"/>
    <w:rsid w:val="00245A79"/>
    <w:rsid w:val="002540B1"/>
    <w:rsid w:val="00257099"/>
    <w:rsid w:val="002734D2"/>
    <w:rsid w:val="00276401"/>
    <w:rsid w:val="0027698B"/>
    <w:rsid w:val="00276D48"/>
    <w:rsid w:val="00283A57"/>
    <w:rsid w:val="002909AE"/>
    <w:rsid w:val="002A5117"/>
    <w:rsid w:val="002B1E1A"/>
    <w:rsid w:val="002B46E6"/>
    <w:rsid w:val="002B6A23"/>
    <w:rsid w:val="002C2D21"/>
    <w:rsid w:val="002C2E3E"/>
    <w:rsid w:val="002C7ABB"/>
    <w:rsid w:val="002D2C9C"/>
    <w:rsid w:val="002D2DCB"/>
    <w:rsid w:val="002D6A57"/>
    <w:rsid w:val="002E287E"/>
    <w:rsid w:val="002E5D23"/>
    <w:rsid w:val="00313871"/>
    <w:rsid w:val="00315A06"/>
    <w:rsid w:val="00316964"/>
    <w:rsid w:val="003244DB"/>
    <w:rsid w:val="003262DD"/>
    <w:rsid w:val="00335301"/>
    <w:rsid w:val="00335B68"/>
    <w:rsid w:val="00336252"/>
    <w:rsid w:val="00351C6D"/>
    <w:rsid w:val="0035307C"/>
    <w:rsid w:val="003554F0"/>
    <w:rsid w:val="003645E6"/>
    <w:rsid w:val="00367EED"/>
    <w:rsid w:val="0037225B"/>
    <w:rsid w:val="00372E9C"/>
    <w:rsid w:val="00375299"/>
    <w:rsid w:val="00377A65"/>
    <w:rsid w:val="0038548F"/>
    <w:rsid w:val="00393F7B"/>
    <w:rsid w:val="003A0194"/>
    <w:rsid w:val="003A7DD6"/>
    <w:rsid w:val="003B4153"/>
    <w:rsid w:val="003E3258"/>
    <w:rsid w:val="003F4E02"/>
    <w:rsid w:val="004010FE"/>
    <w:rsid w:val="004033C2"/>
    <w:rsid w:val="00423935"/>
    <w:rsid w:val="00440A0E"/>
    <w:rsid w:val="00464D75"/>
    <w:rsid w:val="00467163"/>
    <w:rsid w:val="00474255"/>
    <w:rsid w:val="00490830"/>
    <w:rsid w:val="004B2229"/>
    <w:rsid w:val="004C3F8C"/>
    <w:rsid w:val="004D3C44"/>
    <w:rsid w:val="004D575B"/>
    <w:rsid w:val="004D68FC"/>
    <w:rsid w:val="004E140D"/>
    <w:rsid w:val="004E4715"/>
    <w:rsid w:val="0050312F"/>
    <w:rsid w:val="00511322"/>
    <w:rsid w:val="00520DB9"/>
    <w:rsid w:val="005274BD"/>
    <w:rsid w:val="00531487"/>
    <w:rsid w:val="00540D32"/>
    <w:rsid w:val="00546572"/>
    <w:rsid w:val="00551A34"/>
    <w:rsid w:val="00562375"/>
    <w:rsid w:val="00565F49"/>
    <w:rsid w:val="00571CED"/>
    <w:rsid w:val="00580DCC"/>
    <w:rsid w:val="00581BDF"/>
    <w:rsid w:val="005842F9"/>
    <w:rsid w:val="0059295C"/>
    <w:rsid w:val="005933C9"/>
    <w:rsid w:val="005939EB"/>
    <w:rsid w:val="0059461F"/>
    <w:rsid w:val="005A0F6E"/>
    <w:rsid w:val="005B307F"/>
    <w:rsid w:val="005B36D1"/>
    <w:rsid w:val="005B6A93"/>
    <w:rsid w:val="005C0377"/>
    <w:rsid w:val="005C3728"/>
    <w:rsid w:val="005D0627"/>
    <w:rsid w:val="005D28A1"/>
    <w:rsid w:val="005D604D"/>
    <w:rsid w:val="005E1407"/>
    <w:rsid w:val="005F0968"/>
    <w:rsid w:val="006023CB"/>
    <w:rsid w:val="00603A4D"/>
    <w:rsid w:val="00605E03"/>
    <w:rsid w:val="006122C6"/>
    <w:rsid w:val="0061710B"/>
    <w:rsid w:val="00625D9C"/>
    <w:rsid w:val="0062758A"/>
    <w:rsid w:val="00632C47"/>
    <w:rsid w:val="006338E2"/>
    <w:rsid w:val="00635727"/>
    <w:rsid w:val="00636649"/>
    <w:rsid w:val="0065402C"/>
    <w:rsid w:val="00657765"/>
    <w:rsid w:val="00657A34"/>
    <w:rsid w:val="00665CFD"/>
    <w:rsid w:val="0066643F"/>
    <w:rsid w:val="00666F4A"/>
    <w:rsid w:val="0068547D"/>
    <w:rsid w:val="0069356A"/>
    <w:rsid w:val="006A044B"/>
    <w:rsid w:val="006A1FA3"/>
    <w:rsid w:val="006A47F6"/>
    <w:rsid w:val="006A528D"/>
    <w:rsid w:val="006D3144"/>
    <w:rsid w:val="006D451E"/>
    <w:rsid w:val="006D6A07"/>
    <w:rsid w:val="006D7A6A"/>
    <w:rsid w:val="006E4BDB"/>
    <w:rsid w:val="006E5CE7"/>
    <w:rsid w:val="006F0AAE"/>
    <w:rsid w:val="006F1A32"/>
    <w:rsid w:val="006F5615"/>
    <w:rsid w:val="006F5BA3"/>
    <w:rsid w:val="0070404B"/>
    <w:rsid w:val="0070490F"/>
    <w:rsid w:val="00713338"/>
    <w:rsid w:val="00720BDD"/>
    <w:rsid w:val="00723D40"/>
    <w:rsid w:val="007257C6"/>
    <w:rsid w:val="00727D63"/>
    <w:rsid w:val="00732C46"/>
    <w:rsid w:val="00737114"/>
    <w:rsid w:val="00742769"/>
    <w:rsid w:val="0075460A"/>
    <w:rsid w:val="007546DE"/>
    <w:rsid w:val="00754BDD"/>
    <w:rsid w:val="00760C1E"/>
    <w:rsid w:val="00772EBF"/>
    <w:rsid w:val="0078556A"/>
    <w:rsid w:val="00786745"/>
    <w:rsid w:val="00787583"/>
    <w:rsid w:val="00787B9A"/>
    <w:rsid w:val="00790AC0"/>
    <w:rsid w:val="00790DB2"/>
    <w:rsid w:val="007936F3"/>
    <w:rsid w:val="00793DF2"/>
    <w:rsid w:val="00794D24"/>
    <w:rsid w:val="007977CA"/>
    <w:rsid w:val="007A04F9"/>
    <w:rsid w:val="007A3EDC"/>
    <w:rsid w:val="007B191D"/>
    <w:rsid w:val="007B3A39"/>
    <w:rsid w:val="007B5033"/>
    <w:rsid w:val="007C08CF"/>
    <w:rsid w:val="007C3600"/>
    <w:rsid w:val="007D27CC"/>
    <w:rsid w:val="007D2E7D"/>
    <w:rsid w:val="007D378A"/>
    <w:rsid w:val="007D5EED"/>
    <w:rsid w:val="007F2D3F"/>
    <w:rsid w:val="007F385F"/>
    <w:rsid w:val="007F7722"/>
    <w:rsid w:val="00813370"/>
    <w:rsid w:val="008435CD"/>
    <w:rsid w:val="008536AF"/>
    <w:rsid w:val="008556B0"/>
    <w:rsid w:val="00857687"/>
    <w:rsid w:val="0086252E"/>
    <w:rsid w:val="00863871"/>
    <w:rsid w:val="008641BF"/>
    <w:rsid w:val="00866330"/>
    <w:rsid w:val="0087467E"/>
    <w:rsid w:val="008754AE"/>
    <w:rsid w:val="00875541"/>
    <w:rsid w:val="00885E78"/>
    <w:rsid w:val="008A1C19"/>
    <w:rsid w:val="008A2756"/>
    <w:rsid w:val="008B0897"/>
    <w:rsid w:val="008B197E"/>
    <w:rsid w:val="008B1A77"/>
    <w:rsid w:val="008C0D6C"/>
    <w:rsid w:val="008C4145"/>
    <w:rsid w:val="008C7D39"/>
    <w:rsid w:val="008F524C"/>
    <w:rsid w:val="008F5D5A"/>
    <w:rsid w:val="008F5E50"/>
    <w:rsid w:val="008F7414"/>
    <w:rsid w:val="00902635"/>
    <w:rsid w:val="00912096"/>
    <w:rsid w:val="00912459"/>
    <w:rsid w:val="00922368"/>
    <w:rsid w:val="00930684"/>
    <w:rsid w:val="00941EFD"/>
    <w:rsid w:val="00944C47"/>
    <w:rsid w:val="00953269"/>
    <w:rsid w:val="009571C5"/>
    <w:rsid w:val="009608D3"/>
    <w:rsid w:val="009652FD"/>
    <w:rsid w:val="009702F2"/>
    <w:rsid w:val="00973CB7"/>
    <w:rsid w:val="009772D5"/>
    <w:rsid w:val="00977921"/>
    <w:rsid w:val="0098003A"/>
    <w:rsid w:val="0098643D"/>
    <w:rsid w:val="009A5E0F"/>
    <w:rsid w:val="009A619E"/>
    <w:rsid w:val="009A7A88"/>
    <w:rsid w:val="009B3CE4"/>
    <w:rsid w:val="009B701B"/>
    <w:rsid w:val="009B7F1B"/>
    <w:rsid w:val="009C0AF7"/>
    <w:rsid w:val="009C4153"/>
    <w:rsid w:val="009C72D7"/>
    <w:rsid w:val="009D3FD3"/>
    <w:rsid w:val="009D7B5B"/>
    <w:rsid w:val="009E043B"/>
    <w:rsid w:val="009E2680"/>
    <w:rsid w:val="009E495C"/>
    <w:rsid w:val="009E4AEF"/>
    <w:rsid w:val="009E66BA"/>
    <w:rsid w:val="009E6BDF"/>
    <w:rsid w:val="009F334B"/>
    <w:rsid w:val="00A04474"/>
    <w:rsid w:val="00A06F6B"/>
    <w:rsid w:val="00A105B5"/>
    <w:rsid w:val="00A15096"/>
    <w:rsid w:val="00A15F7F"/>
    <w:rsid w:val="00A24287"/>
    <w:rsid w:val="00A31CE8"/>
    <w:rsid w:val="00A40002"/>
    <w:rsid w:val="00A438FF"/>
    <w:rsid w:val="00A44510"/>
    <w:rsid w:val="00A517D6"/>
    <w:rsid w:val="00A54F82"/>
    <w:rsid w:val="00A60B73"/>
    <w:rsid w:val="00A62339"/>
    <w:rsid w:val="00A62FFA"/>
    <w:rsid w:val="00A66E61"/>
    <w:rsid w:val="00A77F43"/>
    <w:rsid w:val="00A84B9B"/>
    <w:rsid w:val="00A95579"/>
    <w:rsid w:val="00AA216D"/>
    <w:rsid w:val="00AA718F"/>
    <w:rsid w:val="00AB01D5"/>
    <w:rsid w:val="00AB1A04"/>
    <w:rsid w:val="00AB24EF"/>
    <w:rsid w:val="00AC5353"/>
    <w:rsid w:val="00AD6616"/>
    <w:rsid w:val="00AE25AB"/>
    <w:rsid w:val="00AE2664"/>
    <w:rsid w:val="00AF002C"/>
    <w:rsid w:val="00AF054C"/>
    <w:rsid w:val="00B054F2"/>
    <w:rsid w:val="00B246F1"/>
    <w:rsid w:val="00B272FD"/>
    <w:rsid w:val="00B27FE2"/>
    <w:rsid w:val="00B30349"/>
    <w:rsid w:val="00B41239"/>
    <w:rsid w:val="00B44ED8"/>
    <w:rsid w:val="00B52D0B"/>
    <w:rsid w:val="00B606DF"/>
    <w:rsid w:val="00B63F89"/>
    <w:rsid w:val="00B6405A"/>
    <w:rsid w:val="00B656E1"/>
    <w:rsid w:val="00B73CDC"/>
    <w:rsid w:val="00B9043D"/>
    <w:rsid w:val="00B91AA9"/>
    <w:rsid w:val="00B91BAE"/>
    <w:rsid w:val="00BA3E63"/>
    <w:rsid w:val="00BB29BB"/>
    <w:rsid w:val="00BB2EBD"/>
    <w:rsid w:val="00BB3C61"/>
    <w:rsid w:val="00BC4C60"/>
    <w:rsid w:val="00BC680A"/>
    <w:rsid w:val="00BC680E"/>
    <w:rsid w:val="00BD700D"/>
    <w:rsid w:val="00BE0CB4"/>
    <w:rsid w:val="00BE24CF"/>
    <w:rsid w:val="00BE3282"/>
    <w:rsid w:val="00BF3697"/>
    <w:rsid w:val="00C14262"/>
    <w:rsid w:val="00C20351"/>
    <w:rsid w:val="00C3470B"/>
    <w:rsid w:val="00C518F6"/>
    <w:rsid w:val="00C52BD5"/>
    <w:rsid w:val="00C6526F"/>
    <w:rsid w:val="00C679C2"/>
    <w:rsid w:val="00C7584B"/>
    <w:rsid w:val="00C84BA8"/>
    <w:rsid w:val="00C90582"/>
    <w:rsid w:val="00C9764F"/>
    <w:rsid w:val="00CA14C7"/>
    <w:rsid w:val="00CA77D7"/>
    <w:rsid w:val="00CB4646"/>
    <w:rsid w:val="00CC3477"/>
    <w:rsid w:val="00CC4EA4"/>
    <w:rsid w:val="00CC70B8"/>
    <w:rsid w:val="00CD7EC6"/>
    <w:rsid w:val="00CE06C3"/>
    <w:rsid w:val="00CE1D9F"/>
    <w:rsid w:val="00CF1CEF"/>
    <w:rsid w:val="00D007C9"/>
    <w:rsid w:val="00D06BDC"/>
    <w:rsid w:val="00D076B6"/>
    <w:rsid w:val="00D13CEA"/>
    <w:rsid w:val="00D31B9C"/>
    <w:rsid w:val="00D3292B"/>
    <w:rsid w:val="00D428E5"/>
    <w:rsid w:val="00D4415B"/>
    <w:rsid w:val="00D465AF"/>
    <w:rsid w:val="00D54C80"/>
    <w:rsid w:val="00D6301F"/>
    <w:rsid w:val="00D65838"/>
    <w:rsid w:val="00D7324E"/>
    <w:rsid w:val="00D83FB9"/>
    <w:rsid w:val="00D83FDF"/>
    <w:rsid w:val="00D91902"/>
    <w:rsid w:val="00D969C5"/>
    <w:rsid w:val="00DA0002"/>
    <w:rsid w:val="00DA6DC7"/>
    <w:rsid w:val="00DA70EA"/>
    <w:rsid w:val="00DB0FCA"/>
    <w:rsid w:val="00DB32D2"/>
    <w:rsid w:val="00DB7AD4"/>
    <w:rsid w:val="00DC7AD5"/>
    <w:rsid w:val="00DD7D11"/>
    <w:rsid w:val="00DE14E5"/>
    <w:rsid w:val="00DE2584"/>
    <w:rsid w:val="00DE5532"/>
    <w:rsid w:val="00DF6202"/>
    <w:rsid w:val="00E10A9F"/>
    <w:rsid w:val="00E13497"/>
    <w:rsid w:val="00E26518"/>
    <w:rsid w:val="00E3178B"/>
    <w:rsid w:val="00E3477A"/>
    <w:rsid w:val="00E40D6D"/>
    <w:rsid w:val="00E42161"/>
    <w:rsid w:val="00E500CA"/>
    <w:rsid w:val="00E523EF"/>
    <w:rsid w:val="00E62E91"/>
    <w:rsid w:val="00E657D1"/>
    <w:rsid w:val="00E77646"/>
    <w:rsid w:val="00E807E2"/>
    <w:rsid w:val="00E96BFF"/>
    <w:rsid w:val="00EB1DD0"/>
    <w:rsid w:val="00EB51C9"/>
    <w:rsid w:val="00EB66F7"/>
    <w:rsid w:val="00EC1F6A"/>
    <w:rsid w:val="00EC62C8"/>
    <w:rsid w:val="00ED3D93"/>
    <w:rsid w:val="00EF3AE9"/>
    <w:rsid w:val="00F34659"/>
    <w:rsid w:val="00F42C25"/>
    <w:rsid w:val="00F4523B"/>
    <w:rsid w:val="00F469A9"/>
    <w:rsid w:val="00F50B82"/>
    <w:rsid w:val="00F5619A"/>
    <w:rsid w:val="00F643EC"/>
    <w:rsid w:val="00F65676"/>
    <w:rsid w:val="00F8317E"/>
    <w:rsid w:val="00F908EF"/>
    <w:rsid w:val="00F96495"/>
    <w:rsid w:val="00FA0888"/>
    <w:rsid w:val="00FB78E0"/>
    <w:rsid w:val="00FC22EC"/>
    <w:rsid w:val="00FD44C1"/>
    <w:rsid w:val="00FD5313"/>
    <w:rsid w:val="00FE37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3E8328"/>
  <w15:docId w15:val="{D82110F4-C333-964F-A5CD-25DB6D23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F1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5953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致銓 許</cp:lastModifiedBy>
  <cp:revision>3</cp:revision>
  <cp:lastPrinted>2024-04-30T14:47:00Z</cp:lastPrinted>
  <dcterms:created xsi:type="dcterms:W3CDTF">2024-04-30T14:47:00Z</dcterms:created>
  <dcterms:modified xsi:type="dcterms:W3CDTF">2024-04-30T14:47:00Z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