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pPr>
      <w:r w:rsidDel="00000000" w:rsidR="00000000" w:rsidRPr="00000000">
        <w:rPr>
          <w:rtl w:val="0"/>
        </w:rPr>
      </w:r>
    </w:p>
    <w:p w:rsidR="00000000" w:rsidDel="00000000" w:rsidP="00000000" w:rsidRDefault="00000000" w:rsidRPr="00000000" w14:paraId="00000002">
      <w:pPr>
        <w:spacing w:line="360" w:lineRule="auto"/>
        <w:jc w:val="both"/>
        <w:rPr>
          <w:rFonts w:ascii="Times New Roman" w:cs="Times New Roman" w:eastAsia="Times New Roman" w:hAnsi="Times New Roman"/>
          <w:color w:val="4f81bd"/>
          <w:sz w:val="24"/>
          <w:szCs w:val="24"/>
        </w:rPr>
      </w:pPr>
      <w:r w:rsidDel="00000000" w:rsidR="00000000" w:rsidRPr="00000000">
        <w:rPr>
          <w:rtl w:val="0"/>
        </w:rPr>
      </w:r>
    </w:p>
    <w:p w:rsidR="00000000" w:rsidDel="00000000" w:rsidP="00000000" w:rsidRDefault="00000000" w:rsidRPr="00000000" w14:paraId="00000003">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60" w:line="360" w:lineRule="auto"/>
        <w:ind w:firstLine="7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Business Running Case</w:t>
      </w:r>
    </w:p>
    <w:p w:rsidR="00000000" w:rsidDel="00000000" w:rsidP="00000000" w:rsidRDefault="00000000" w:rsidRPr="00000000" w14:paraId="00000010">
      <w:pPr>
        <w:spacing w:line="360" w:lineRule="auto"/>
        <w:ind w:firstLine="7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Investing in a New In-House Microbrewery</w:t>
      </w:r>
    </w:p>
    <w:p w:rsidR="00000000" w:rsidDel="00000000" w:rsidP="00000000" w:rsidRDefault="00000000" w:rsidRPr="00000000" w14:paraId="00000011">
      <w:pPr>
        <w:spacing w:line="360" w:lineRule="auto"/>
        <w:ind w:firstLine="72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2">
      <w:pPr>
        <w:spacing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spacing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3: </w:t>
      </w:r>
    </w:p>
    <w:p w:rsidR="00000000" w:rsidDel="00000000" w:rsidP="00000000" w:rsidRDefault="00000000" w:rsidRPr="00000000" w14:paraId="00000014">
      <w:pPr>
        <w:spacing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Andrey Pafnutyev, Zhimei Zhou, Caroline Mutuku, </w:t>
      </w:r>
    </w:p>
    <w:p w:rsidR="00000000" w:rsidDel="00000000" w:rsidP="00000000" w:rsidRDefault="00000000" w:rsidRPr="00000000" w14:paraId="00000015">
      <w:pPr>
        <w:spacing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Hung Trung Nguyen, Shuyu Pan</w:t>
      </w:r>
    </w:p>
    <w:p w:rsidR="00000000" w:rsidDel="00000000" w:rsidP="00000000" w:rsidRDefault="00000000" w:rsidRPr="00000000" w14:paraId="00000016">
      <w:pPr>
        <w:spacing w:line="36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Boston University</w:t>
      </w:r>
    </w:p>
    <w:p w:rsidR="00000000" w:rsidDel="00000000" w:rsidP="00000000" w:rsidRDefault="00000000" w:rsidRPr="00000000" w14:paraId="00000018">
      <w:pPr>
        <w:spacing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 AD715: Qualitative and Quantitative Decision-Making</w:t>
      </w:r>
    </w:p>
    <w:p w:rsidR="00000000" w:rsidDel="00000000" w:rsidP="00000000" w:rsidRDefault="00000000" w:rsidRPr="00000000" w14:paraId="00000019">
      <w:pPr>
        <w:spacing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Branka Tomic</w:t>
      </w:r>
    </w:p>
    <w:p w:rsidR="00000000" w:rsidDel="00000000" w:rsidP="00000000" w:rsidRDefault="00000000" w:rsidRPr="00000000" w14:paraId="0000001A">
      <w:pPr>
        <w:spacing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December 15, 2024</w:t>
      </w:r>
    </w:p>
    <w:p w:rsidR="00000000" w:rsidDel="00000000" w:rsidP="00000000" w:rsidRDefault="00000000" w:rsidRPr="00000000" w14:paraId="0000001B">
      <w:pPr>
        <w:pStyle w:val="Heading3"/>
        <w:spacing w:line="240" w:lineRule="auto"/>
        <w:jc w:val="both"/>
        <w:rPr>
          <w:rFonts w:ascii="Times New Roman" w:cs="Times New Roman" w:eastAsia="Times New Roman" w:hAnsi="Times New Roman"/>
          <w:color w:val="4f81bd"/>
          <w:sz w:val="24"/>
          <w:szCs w:val="24"/>
        </w:rPr>
      </w:pPr>
      <w:bookmarkStart w:colFirst="0" w:colLast="0" w:name="_1fn151xxyblc" w:id="0"/>
      <w:bookmarkEnd w:id="0"/>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3"/>
        <w:rPr>
          <w:rFonts w:ascii="Times New Roman" w:cs="Times New Roman" w:eastAsia="Times New Roman" w:hAnsi="Times New Roman"/>
          <w:color w:val="4f81bd"/>
        </w:rPr>
      </w:pPr>
      <w:bookmarkStart w:colFirst="0" w:colLast="0" w:name="_tyb1yj15cxm4" w:id="1"/>
      <w:bookmarkEnd w:id="1"/>
      <w:r w:rsidDel="00000000" w:rsidR="00000000" w:rsidRPr="00000000">
        <w:rPr>
          <w:rtl w:val="0"/>
        </w:rPr>
        <w:t xml:space="preserve">Table of Contents</w:t>
      </w:r>
      <w:r w:rsidDel="00000000" w:rsidR="00000000" w:rsidRPr="00000000">
        <w:rPr>
          <w:rtl w:val="0"/>
        </w:rPr>
      </w:r>
    </w:p>
    <w:sdt>
      <w:sdtPr>
        <w:id w:val="2045940976"/>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after="20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0sydbkv85c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Executive Summary</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200" w:before="60" w:line="240" w:lineRule="auto"/>
            <w:rPr>
              <w:rFonts w:ascii="Arial" w:cs="Arial" w:eastAsia="Arial" w:hAnsi="Arial"/>
              <w:b w:val="1"/>
              <w:i w:val="0"/>
              <w:smallCaps w:val="0"/>
              <w:strike w:val="0"/>
              <w:color w:val="000000"/>
              <w:sz w:val="22"/>
              <w:szCs w:val="22"/>
              <w:u w:val="none"/>
              <w:shd w:fill="auto" w:val="clear"/>
              <w:vertAlign w:val="baseline"/>
            </w:rPr>
          </w:pPr>
          <w:hyperlink w:anchor="_8j3wnvduibv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200" w:before="60" w:line="240" w:lineRule="auto"/>
            <w:rPr>
              <w:rFonts w:ascii="Arial" w:cs="Arial" w:eastAsia="Arial" w:hAnsi="Arial"/>
              <w:b w:val="1"/>
              <w:i w:val="0"/>
              <w:smallCaps w:val="0"/>
              <w:strike w:val="0"/>
              <w:color w:val="000000"/>
              <w:sz w:val="22"/>
              <w:szCs w:val="22"/>
              <w:u w:val="none"/>
              <w:shd w:fill="auto" w:val="clear"/>
              <w:vertAlign w:val="baseline"/>
            </w:rPr>
          </w:pPr>
          <w:hyperlink w:anchor="_sm3auswuv26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Decision-making</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200" w:before="60" w:line="240" w:lineRule="auto"/>
            <w:rPr>
              <w:rFonts w:ascii="Arial" w:cs="Arial" w:eastAsia="Arial" w:hAnsi="Arial"/>
              <w:b w:val="1"/>
              <w:i w:val="0"/>
              <w:smallCaps w:val="0"/>
              <w:strike w:val="0"/>
              <w:color w:val="000000"/>
              <w:sz w:val="22"/>
              <w:szCs w:val="22"/>
              <w:u w:val="none"/>
              <w:shd w:fill="auto" w:val="clear"/>
              <w:vertAlign w:val="baseline"/>
            </w:rPr>
          </w:pPr>
          <w:hyperlink w:anchor="_sntxt116aug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Strategic Decision Support Framework for Enhancing Microbrewery Operations in Houston</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200" w:before="60" w:line="240" w:lineRule="auto"/>
            <w:rPr>
              <w:rFonts w:ascii="Arial" w:cs="Arial" w:eastAsia="Arial" w:hAnsi="Arial"/>
              <w:b w:val="1"/>
              <w:i w:val="0"/>
              <w:smallCaps w:val="0"/>
              <w:strike w:val="0"/>
              <w:color w:val="000000"/>
              <w:sz w:val="22"/>
              <w:szCs w:val="22"/>
              <w:u w:val="none"/>
              <w:shd w:fill="auto" w:val="clear"/>
              <w:vertAlign w:val="baseline"/>
            </w:rPr>
          </w:pPr>
          <w:hyperlink w:anchor="_u66vtmsrsxz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Decision Tree Analysis: Strategizing Marketing Approaches</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200" w:before="60" w:line="240" w:lineRule="auto"/>
            <w:rPr>
              <w:rFonts w:ascii="Arial" w:cs="Arial" w:eastAsia="Arial" w:hAnsi="Arial"/>
              <w:b w:val="1"/>
              <w:i w:val="0"/>
              <w:smallCaps w:val="0"/>
              <w:strike w:val="0"/>
              <w:color w:val="000000"/>
              <w:sz w:val="22"/>
              <w:szCs w:val="22"/>
              <w:u w:val="none"/>
              <w:shd w:fill="auto" w:val="clear"/>
              <w:vertAlign w:val="baseline"/>
            </w:rPr>
          </w:pPr>
          <w:hyperlink w:anchor="_n8liwc1o32x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Break-Even Point Analysis: Determining Financial Viability</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200" w:before="60" w:line="240" w:lineRule="auto"/>
            <w:rPr>
              <w:rFonts w:ascii="Arial" w:cs="Arial" w:eastAsia="Arial" w:hAnsi="Arial"/>
              <w:b w:val="1"/>
              <w:i w:val="0"/>
              <w:smallCaps w:val="0"/>
              <w:strike w:val="0"/>
              <w:color w:val="000000"/>
              <w:sz w:val="22"/>
              <w:szCs w:val="22"/>
              <w:u w:val="none"/>
              <w:shd w:fill="auto" w:val="clear"/>
              <w:vertAlign w:val="baseline"/>
            </w:rPr>
          </w:pPr>
          <w:hyperlink w:anchor="_blvxhoz7p03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Optimization Analysis: Enhancing Production Efficiency</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200" w:before="60" w:line="240" w:lineRule="auto"/>
            <w:rPr>
              <w:rFonts w:ascii="Arial" w:cs="Arial" w:eastAsia="Arial" w:hAnsi="Arial"/>
              <w:b w:val="1"/>
              <w:i w:val="0"/>
              <w:smallCaps w:val="0"/>
              <w:strike w:val="0"/>
              <w:color w:val="000000"/>
              <w:sz w:val="22"/>
              <w:szCs w:val="22"/>
              <w:u w:val="none"/>
              <w:shd w:fill="auto" w:val="clear"/>
              <w:vertAlign w:val="baseline"/>
            </w:rPr>
          </w:pPr>
          <w:hyperlink w:anchor="_67rl18fb9fh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Risk Assessment: Alleviating Uncertainties</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200" w:before="60" w:line="240" w:lineRule="auto"/>
            <w:rPr>
              <w:rFonts w:ascii="Arial" w:cs="Arial" w:eastAsia="Arial" w:hAnsi="Arial"/>
              <w:b w:val="1"/>
              <w:i w:val="0"/>
              <w:smallCaps w:val="0"/>
              <w:strike w:val="0"/>
              <w:color w:val="000000"/>
              <w:sz w:val="22"/>
              <w:szCs w:val="22"/>
              <w:u w:val="none"/>
              <w:shd w:fill="auto" w:val="clear"/>
              <w:vertAlign w:val="baseline"/>
            </w:rPr>
          </w:pPr>
          <w:hyperlink w:anchor="_w1tgv3uoiz6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Evaluation of the Output Parameters</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200" w:before="60" w:line="240" w:lineRule="auto"/>
            <w:rPr>
              <w:rFonts w:ascii="Arial" w:cs="Arial" w:eastAsia="Arial" w:hAnsi="Arial"/>
              <w:b w:val="1"/>
              <w:i w:val="0"/>
              <w:smallCaps w:val="0"/>
              <w:strike w:val="0"/>
              <w:color w:val="000000"/>
              <w:sz w:val="22"/>
              <w:szCs w:val="22"/>
              <w:u w:val="none"/>
              <w:shd w:fill="auto" w:val="clear"/>
              <w:vertAlign w:val="baseline"/>
            </w:rPr>
          </w:pPr>
          <w:hyperlink w:anchor="_eaz9y8edyp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Recommended Decision Strategy</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200" w:before="60" w:line="240" w:lineRule="auto"/>
            <w:rPr>
              <w:rFonts w:ascii="Arial" w:cs="Arial" w:eastAsia="Arial" w:hAnsi="Arial"/>
              <w:b w:val="1"/>
              <w:i w:val="0"/>
              <w:smallCaps w:val="0"/>
              <w:strike w:val="0"/>
              <w:color w:val="000000"/>
              <w:sz w:val="22"/>
              <w:szCs w:val="22"/>
              <w:u w:val="none"/>
              <w:shd w:fill="auto" w:val="clear"/>
              <w:vertAlign w:val="baseline"/>
            </w:rPr>
          </w:pPr>
          <w:hyperlink w:anchor="_xjr9fmpb7oi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Conclusion</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200" w:before="60" w:line="240" w:lineRule="auto"/>
            <w:rPr>
              <w:rFonts w:ascii="Arial" w:cs="Arial" w:eastAsia="Arial" w:hAnsi="Arial"/>
              <w:b w:val="1"/>
              <w:i w:val="0"/>
              <w:smallCaps w:val="0"/>
              <w:strike w:val="0"/>
              <w:color w:val="000000"/>
              <w:sz w:val="22"/>
              <w:szCs w:val="22"/>
              <w:u w:val="none"/>
              <w:shd w:fill="auto" w:val="clear"/>
              <w:vertAlign w:val="baseline"/>
            </w:rPr>
          </w:pPr>
          <w:hyperlink w:anchor="_fjp9k6uba7j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Appendices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pStyle w:val="Heading3"/>
        <w:spacing w:line="360" w:lineRule="auto"/>
        <w:jc w:val="both"/>
        <w:rPr/>
      </w:pPr>
      <w:bookmarkStart w:colFirst="0" w:colLast="0" w:name="_q94222ywtfvw" w:id="2"/>
      <w:bookmarkEnd w:id="2"/>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3"/>
        <w:rPr/>
      </w:pPr>
      <w:bookmarkStart w:colFirst="0" w:colLast="0" w:name="_ts5b50s3ac08" w:id="3"/>
      <w:bookmarkEnd w:id="3"/>
      <w:r w:rsidDel="00000000" w:rsidR="00000000" w:rsidRPr="00000000">
        <w:rPr>
          <w:rtl w:val="0"/>
        </w:rPr>
      </w:r>
    </w:p>
    <w:p w:rsidR="00000000" w:rsidDel="00000000" w:rsidP="00000000" w:rsidRDefault="00000000" w:rsidRPr="00000000" w14:paraId="0000003A">
      <w:pPr>
        <w:pStyle w:val="Heading3"/>
        <w:rPr/>
      </w:pPr>
      <w:bookmarkStart w:colFirst="0" w:colLast="0" w:name="_lrg9v6fndk4z" w:id="4"/>
      <w:bookmarkEnd w:id="4"/>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3"/>
        <w:rPr>
          <w:b w:val="1"/>
          <w:color w:val="4f81bd"/>
        </w:rPr>
      </w:pPr>
      <w:bookmarkStart w:colFirst="0" w:colLast="0" w:name="_d0sydbkv85cb" w:id="5"/>
      <w:bookmarkEnd w:id="5"/>
      <w:r w:rsidDel="00000000" w:rsidR="00000000" w:rsidRPr="00000000">
        <w:rPr>
          <w:rtl w:val="0"/>
        </w:rPr>
        <w:t xml:space="preserve">Executive Summary</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microbrewery’s refined strategy leverages cutting-edge decision-support tools to establish a profitable and sustainable presence in Houston’s vibrant craft beer market. Building on feedback and lessons from the initial project, we have optimized our business model to align more effectively with market dynamics, ensuring operational efficiency, financial viability, and robust customer engagement. By targeting Houston’s tech-savvy and high-income demographic, we are enhancing our outreach through data-driven digital marketing campaigns on platforms like Instagram and Facebook. These efforts are complemented by seasonal promotions and event sponsorships to strengthen community ties and foster brand loyalty.</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pricing strategy—$8 for retail and $5 for wholesale—balances affordability and profitability, keeping us competitive while achieving healthy margins. Operational efficiencies have been maximized through linear programming, ensuring production schedules align with seasonal demand patterns. This strategic prioritization of high-margin retail production, alongside flexible wholesale distribution, supports scalable growth. Financially, the microbrewery is projected to reach profitability by FY2 and achieve a 15% return on investment by FY3, demonstrating strong market alignment and fiscal resilience.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b w:val="1"/>
          <w:color w:val="4f81bd"/>
        </w:rPr>
      </w:pPr>
      <w:r w:rsidDel="00000000" w:rsidR="00000000" w:rsidRPr="00000000">
        <w:rPr>
          <w:rFonts w:ascii="Times New Roman" w:cs="Times New Roman" w:eastAsia="Times New Roman" w:hAnsi="Times New Roman"/>
          <w:sz w:val="24"/>
          <w:szCs w:val="24"/>
          <w:rtl w:val="0"/>
        </w:rPr>
        <w:t xml:space="preserve">The revised plan also integrates sustainability and community-driven initiatives, reflecting our commitment to eco-friendly practices and local engagement. These strategic advancements position our microbrewery as a market leader, ready to thrive in a competitive landscape. By addressing critical challenges and incorporating actionable improvements, our approach ensures immediate profitability, long-term growth, and a reputation as a socially responsible and customer-focused brand.</w:t>
      </w:r>
      <w:r w:rsidDel="00000000" w:rsidR="00000000" w:rsidRPr="00000000">
        <w:rPr>
          <w:rtl w:val="0"/>
        </w:rPr>
      </w:r>
    </w:p>
    <w:p w:rsidR="00000000" w:rsidDel="00000000" w:rsidP="00000000" w:rsidRDefault="00000000" w:rsidRPr="00000000" w14:paraId="0000003F">
      <w:pPr>
        <w:pStyle w:val="Heading3"/>
        <w:rPr/>
      </w:pPr>
      <w:bookmarkStart w:colFirst="0" w:colLast="0" w:name="_12mys6klt2bg" w:id="6"/>
      <w:bookmarkEnd w:id="6"/>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3"/>
        <w:rPr/>
      </w:pPr>
      <w:bookmarkStart w:colFirst="0" w:colLast="0" w:name="_8j3wnvduibv0" w:id="7"/>
      <w:bookmarkEnd w:id="7"/>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presents a refined strategy for establishing a profitable and sustainable microbrewery in Houston, Texas, building on insights and feedback from the initial project. The second project incorporates strategic enhancements to address critical challenges and better align operations, marketing, and financial strategies with market conditions. The business model has been significantly improved by leveraging comprehensive decision-support tools such as Decision Tree Analysis, Break-Even Analysis, Optimization Analysis, and Risk Analysis to ensure long-term viability and growth.</w:t>
      </w:r>
    </w:p>
    <w:p w:rsidR="00000000" w:rsidDel="00000000" w:rsidP="00000000" w:rsidRDefault="00000000" w:rsidRPr="00000000" w14:paraId="0000004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revised plan focuses on Houston’s $70,000 median income demographic, tailoring marketing efforts to attract tech-savvy, younger audiences through data-driven digital campaigns on platforms like Instagram and Facebook. Seasonal promotions and event sponsorships further reinforce the microbrewery’s connection to the community, enhancing brand loyalty and driving customer engagement. A competitive pricing model—$8 for retail and $5 for wholesale—balances affordability and profitability, ensuring the business remains attractive in a competitive craft beer market while achieving healthy margins.</w:t>
      </w:r>
    </w:p>
    <w:p w:rsidR="00000000" w:rsidDel="00000000" w:rsidP="00000000" w:rsidRDefault="00000000" w:rsidRPr="00000000" w14:paraId="0000004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operational efficiencies have been optimized through linear programming, ensuring production schedules align with seasonal demand patterns. This approach maximizes profitability by prioritizing high-margin retail production while maintaining flexibility for wholesale distribution. The result is a streamlined operation capable of meeting consumer needs efficiently while laying the groundwork for scalability. By FY2, the microbrewery is projected to achieve profitability, with a 15% return on investment by FY3, demonstrating robust financial health and market alignment.</w:t>
      </w:r>
    </w:p>
    <w:p w:rsidR="00000000" w:rsidDel="00000000" w:rsidP="00000000" w:rsidRDefault="00000000" w:rsidRPr="00000000" w14:paraId="0000004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from the first project emphasized the need for greater market alignment, competitive pricing, and operational efficiency. These recommendations have been thoroughly integrated into the second project. Key advancements include targeting specific consumer demographics with tailored marketing strategies, optimizing production to reduce costs, and enhancing customer retention through loyalty programs and community-driven initiatives. Sustainability has also been incorporated through cost-efficient operations and eco-friendly practices, further solidifying the microbrewery’s reputation as a socially responsible brand.</w:t>
      </w:r>
    </w:p>
    <w:p w:rsidR="00000000" w:rsidDel="00000000" w:rsidP="00000000" w:rsidRDefault="00000000" w:rsidRPr="00000000" w14:paraId="0000004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refined strategy positions the microbrewery as a leader in Houston’s craft beer market by combining data-driven decision-making with a customer-centric approach. By addressing the challenges identified in the first project and implementing actionable improvements, the microbrewery demonstrates its readiness to thrive in a competitive market. This strategic clarity ensures immediate profitability and establishes a strong foundation for long-term growth and expansion.</w:t>
      </w:r>
      <w:r w:rsidDel="00000000" w:rsidR="00000000" w:rsidRPr="00000000">
        <w:rPr>
          <w:rtl w:val="0"/>
        </w:rPr>
      </w:r>
    </w:p>
    <w:p w:rsidR="00000000" w:rsidDel="00000000" w:rsidP="00000000" w:rsidRDefault="00000000" w:rsidRPr="00000000" w14:paraId="00000046">
      <w:pPr>
        <w:pStyle w:val="Heading3"/>
        <w:spacing w:line="360" w:lineRule="auto"/>
        <w:rPr/>
      </w:pPr>
      <w:bookmarkStart w:colFirst="0" w:colLast="0" w:name="_sm3auswuv266" w:id="8"/>
      <w:bookmarkEnd w:id="8"/>
      <w:r w:rsidDel="00000000" w:rsidR="00000000" w:rsidRPr="00000000">
        <w:rPr>
          <w:rtl w:val="0"/>
        </w:rPr>
        <w:t xml:space="preserve">Decision-making</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Pricing policies of the microbrewery are meant to strike a mix between operational sustainability and market competitiveness. Houston offers a solid base of middle- and high-income customers who enjoy premium craft beer (U.S. Census Bureau, 2023), with a median household income of almost $70,000. The retail price of $8 per pint and the wholesale price of $5 per unit match the buying power of this group, therefore guaranteeing affordability without sacrificing the quality of the good. With prices remaining competitive compared to similar businesses in Houston, where retail beer prices usually range from $7 to $9 and wholesale prices vary from $4.50 to $5.50, this pricing structure demonstrates a strategic approach to market positioning (Brewers Association, 2022). This strategy guarantees that the microbrewery keeps appealing to consumers while keeping a strong profit margin and market relevance. Seasonal demand patterns offer important information to help match marketing plans with consumer needs and manufacturing capacity. Driven by outdoor events and higher social activity, peak retail demand for craft beers, including Pilsner and Bavarian Lager, falls in the summer months of June through August (Data Bridge Market Research, 2023.). Conversely, wholesale demand shows notable surges in Q1 (January and February) and Q4 (October to December), most likely in response to increased hotel industry activity and holiday celebrations. While concentrating on inventory building for wholesale products during Q1 and Q4, the microbrewery intends to maximize these prospects by increasing the manufacturing of highly sought-after retail items in readiness for the summer season. Together with sponsorships of local events and festivals, digital marketing efforts are expected to raise consumer awareness and encourage community involvement, therefore guaranteeing high sales performance across all distribution channels (Johnson, Scholes, &amp; Whittington, 2017).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of the pricing strategy and general competitiveness of the microbrewery depends mostly on operational efficiency. Using a proprietary brewing technology helps the brewery to keep high standards while lowering production costs, therefore enabling it to price its products competitively without compromising margins. For most product lines, for instance, material prices are maintained at a constant $0.33–$0.35 per unit; labor and other expenses are also controlled (Grand View Research, 2022.). The microbrewery's financial model revolves mostly around this operational effectiveness along with strict cost control. By FY-2 the company is expected to be profitable; by FY-3 its expected return on investment (ROI) is 15%. A steady increase in market penetration supports these estimates; from 646,800 units in FY-0 to 743,820 units by FY-3, a 15% annual growth rate is seen (Brewers Association, 2022). Competitive pricing, seasonal demand alignment, and operational efficiency together guarantee the microbrewery's adaptability in Houston's vibrant craft beer scene. The company is positioned to promote long-term client loyalty and attain sustainable development by using seasonal trends, customizing manufacturing to fit demand changes, and keeping a strong marketing presence. Thoughtful financial planning combined with creative operational methods guarantees not only instant profitability but also lays a strong basis for future development. This flexible strategy shows how well the microbrewery can negotiate market obstacles and confirm its leadership in the craft beer sector in Houston.</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prepare for decision-making in Innovation &amp; Technology Management, it is essential to start by analyzing the current product portfolio. The portfolio includes retail, wholesale, and special offer distributions, each with distinct pricing, material, labor, and cost structures. Notably, the "Fall Special" product (BR-BR-SPC) stands out due to its higher labor costs, highlighting its strategic focus as a seasonal product with unique value. This differentiation suggests an opportunity to evaluate the performance of all products by analyzing contribution margins (Price - Total Costs) and prioritizing high-margin products. Additionally, products that underperform in terms of profitability or customer appeal could benefit from innovation or redesign to enhance their market potential.</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management is another critical area for decision-making. While material and labor costs are relatively uniform across most products, the "Other" costs, such as packaging or distribution inefficiencies, may present opportunities for cost reduction. To address this, implementing process improvements aimed at reducing “Other” costs will be key. Lean methodologies can also be employed to optimize labor and material usage across the production process, further enhancing overall efficiency and profitability.</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terms of market differentiation, the dual focus on retail and wholesale channels highlights the need for tailored strategies. Retail channels may benefit from innovations like exclusive packaging, while wholesale channels could see growth through bulk discount incentives. By leveraging technology to enhance customization and responsiveness to market demands, the organization can create value that resonates with different customer segments. Investments in predictive analytics will also support demand forecasting for seasonal products, ensuring that offerings like the “Fall Special” are available when customer demand is highest.</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adoption is another critical pillar in Innovation &amp; Technology Management. Investments in inventory management systems can minimize holding costs while ensuring adequate supply, and automation in quality checks can maintain consistent product standards. This approach not only improves operational efficiency but also enhances the customer experience by ensuring high-quality products are delivered reliably.</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integrating sustainability goals into the innovation strategy can further strengthen the decision-making framework. This includes exploring the use of sustainable materials in production and innovating waste-reduction processes to address "Other" costs and packaging waste. By aligning these efforts with broader sustainability objectives, the organization can position itself as a socially responsible business while reducing long-term operational costs.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the decision-making framework for Innovation &amp; Technology Management should emphasize evaluating product portfolio profitability, adopting lean and efficient processes, leveraging technology for operational and market gains, and aligning with sustainability goals. This comprehensive approach will drive innovation while ensuring the business remains competitive and adaptable in a dynamic market environment.</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our first Cycle, our company employed seven individuals across four roles: Brewery Workers, Wholesale Store Salesmen, Executives, and Consultants, with a total budget of $473,000. The allocation of resources leaned heavily toward labor-intensive roles, particularly Brewery Workers and Salesmen, which suggests a focus on production and sales operations. Executive salaries also consumed a significant portion of the budget, emphasizing the company’s investment in leadership. However, while this approach supported production and sales, it left little flexibility for administrative or operational innovation. The planned 5% salary increase for FY-3 across all roles indicates a consistent commitment to employee compensation but does not account for role-specific performance or strategic priorities.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second Cycle, we streamlined its workforce to five employees and reallocated roles to focus on administrative efficiency. Brewery Workers were replaced with Office Assistants, reflecting a strategic shift from production-oriented positions to support and administrative tasks. This realignment aligns with a cost-reduction strategy, as the total budget was reduced to $327,500. The more balanced distribution of resources among roles suggests a deliberate effort to optimize operations and reduce redundancy. The planned 5% salary increase remains consistent with Cycle 1, ensuring compensation parity, but further analysis is needed to determine whether the adjusted roles align with the organization’s broader operational and strategic goals.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changes between the two cycles highlight a significant shift in the company’s HR strategy. The reduction in labor-intensive roles, such as Brewery Workers, indicates a potential reliance on technology or external support to meet production needs. The inclusion of Office Assistants suggests a greater focus on administrative efficiency, potentially to streamline internal processes or support other functions. While this approach reduces costs, it raises questions about how production capacity and quality will be maintained without Brewery Workers. Additionally, Wholesale Store Salesmen and Consultants continue to represent core roles, indicating their importance in revenue generation and operational guidance.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effective decision-making, we should carefully evaluate the impact of these adjustments. Productivity assessments are crucial to determine whether the removal of Brewery Workers compromises production or if technology can effectively offset labor reductions. Similarly, the effectiveness of Wholesale Store Salesmen and Consultants in driving revenue and meeting strategic goals should be monitored to justify their continued investment. Aligning the HR strategy with organizational objectives is essential, particularly in ensuring that the reallocation of roles supports the business’s long-term goals.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while the 5% salary increase provides consistency, we could consider role-specific compensation adjustments to attract and retain talent in strategic areas. Non-monetary incentives, such as flexible work arrangements or professional development opportunities, can help maintain morale and productivity, especially in light of the reduced budget. By balancing cost-efficiency with employee satisfaction and performance, we can create a sustainable HR strategy that supports its evolving operational priorities.</w:t>
      </w:r>
    </w:p>
    <w:p w:rsidR="00000000" w:rsidDel="00000000" w:rsidP="00000000" w:rsidRDefault="00000000" w:rsidRPr="00000000" w14:paraId="00000054">
      <w:pPr>
        <w:pStyle w:val="Heading3"/>
        <w:spacing w:line="360" w:lineRule="auto"/>
        <w:rPr>
          <w:rFonts w:ascii="Times New Roman" w:cs="Times New Roman" w:eastAsia="Times New Roman" w:hAnsi="Times New Roman"/>
          <w:sz w:val="24"/>
          <w:szCs w:val="24"/>
        </w:rPr>
      </w:pPr>
      <w:bookmarkStart w:colFirst="0" w:colLast="0" w:name="_sntxt116aug0" w:id="9"/>
      <w:bookmarkEnd w:id="9"/>
      <w:r w:rsidDel="00000000" w:rsidR="00000000" w:rsidRPr="00000000">
        <w:rPr>
          <w:rtl w:val="0"/>
        </w:rPr>
        <w:t xml:space="preserve">Strategic Decision Support Framework for Enhancing Microbrewery Operations in Houston</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framework delineates the strategic utilization of essential decision support tools to improve the company operations, marketing, and financial viability of the proposed microbrewery in Houston, Texas. The tools employed—Decision Tree Analysis, Break-Even Point Analysis, Optimization Analysis, and Risk Analysis—yield actionable insights to enhance decision-making processes and connect operational activities with the organization's objectives.</w:t>
      </w:r>
    </w:p>
    <w:p w:rsidR="00000000" w:rsidDel="00000000" w:rsidP="00000000" w:rsidRDefault="00000000" w:rsidRPr="00000000" w14:paraId="00000056">
      <w:pPr>
        <w:pStyle w:val="Heading3"/>
        <w:spacing w:line="360" w:lineRule="auto"/>
        <w:rPr/>
      </w:pPr>
      <w:bookmarkStart w:colFirst="0" w:colLast="0" w:name="_u66vtmsrsxzy" w:id="10"/>
      <w:bookmarkEnd w:id="10"/>
      <w:r w:rsidDel="00000000" w:rsidR="00000000" w:rsidRPr="00000000">
        <w:rPr>
          <w:rtl w:val="0"/>
        </w:rPr>
        <w:t xml:space="preserve">Decision Tree Analysis: Strategizing Marketing Approaches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Decision Tree Analysis is an effective instrument for assessing the effectiveness of marketing initiatives by quantifying prospective results and facilitating informed decisions that correspond with the business's strategic goals (Kotler &amp; Keller, 2016). Our microbrewery's marketing goals focus on creating a robust local presence and cultivating significant customer interaction in Houston's dynamic and competitive craft beer sector. The city's varied demographics, especially its youthful and technologically adept populace, present substantial chances for customized marketing strategies. The methodology assesses the viability of several promotional strategies—such as digital marketing, outdoor advertising, and event sponsorship—by computing their expected monetary value (EMV) grounded in anticipated success rates and expenses. This method elucidates which strategy yields the most significant return on investment (ROI) and fits most efficiently with our brewery's objectives.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Besides, digital marketing has been the most effective strategy, utilizing data-driven platforms like Instagram, Facebook, and Google Ads to engage Houston's younger, technologically adept audience. This method facilitates accurate targeting, immediate engagement data, and responsiveness to consumer preferences, offering a strong avenue for ongoing customer acquisition and brand expansion (Ryan &amp; Jones, 2021). With an anticipated success rate of 60% and an estimated EMV of $36,000, this method presents the most significant potential for client acquisition and revenue enhancement. This strategy harmonizes with our microbrewery’s brand identity, emphasizing innovation, quality, and considerable community involvement. Our brewery may enhance its outreach and cultivate a devoted consumer base by leveraging digital tools. In contrast to conventional approaches, digital marketing provides accurate targeting, immediate performance monitoring, and flexibility, establishing it as a fundamental component of the brewery's client acquisition strategy.</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outdoor advertising and event sponsorship effectively foster community connections, their lower success rates and EMVs underscore the necessity of emphasizing initiatives with quantifiable and scalable effects, such as digital marketing. By emphasizing digital marketing, the microbrewery may optimize budget allocation and ensure congruence with market trends and consumer behavior.</w:t>
      </w:r>
    </w:p>
    <w:p w:rsidR="00000000" w:rsidDel="00000000" w:rsidP="00000000" w:rsidRDefault="00000000" w:rsidRPr="00000000" w14:paraId="0000005A">
      <w:pPr>
        <w:pStyle w:val="Heading3"/>
        <w:spacing w:line="360" w:lineRule="auto"/>
        <w:rPr/>
      </w:pPr>
      <w:bookmarkStart w:colFirst="0" w:colLast="0" w:name="_n8liwc1o32xq" w:id="11"/>
      <w:bookmarkEnd w:id="11"/>
      <w:r w:rsidDel="00000000" w:rsidR="00000000" w:rsidRPr="00000000">
        <w:rPr>
          <w:rtl w:val="0"/>
        </w:rPr>
        <w:t xml:space="preserve">Break-Even Point Analysis: Determining Financial Viability</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Break-even point Analysis is crucial for comprehending our microbrewery's financial foundation. This tool computes the sales volume necessary to offset fixed and variable costs, elucidating the route to profitability. The microbrewery's operational framework entails substantial fixed expenses of $849,562 per year, encompassing personnel pay, rent, utilities, and marketing expenses. The analysis emphasizes balancing these expenses with pricing strategies and production efficiency (Horngren et al., 2021).</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assessing the contribution margins of retail and wholesale products, it is apparent that retail sales provide a more reasonable path to break even due to their elevated price point and profit margin. Retail products, priced at $8.00 per unit with a contribution margin of $7.40, require a sales volume of about 114,812 units to achieve the break-even point. Conversely, wholesale products, priced at $5.00 and possessing a contribution margin of $4.40, require a sales volume of 193,083 units (Brewer et al., 2020).</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method underscores the strategic significance of prioritizing retail sales in the initial operational phase. Retail enhances profitability and creates a direct customer relationship, promoting brand loyalty and repeat transactions. It also corresponds with the overarching company plan by emphasizing the necessity to leverage high-margin retail channels to stabilize cash flows and establish a strong customer base. Retail interaction provides immediate consumer feedback, allowing the brewery to enhance its products and marketing strategies.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1"/>
          <w:color w:val="4f81bd"/>
          <w:sz w:val="26"/>
          <w:szCs w:val="26"/>
        </w:rPr>
      </w:pPr>
      <w:r w:rsidDel="00000000" w:rsidR="00000000" w:rsidRPr="00000000">
        <w:rPr>
          <w:rFonts w:ascii="Times New Roman" w:cs="Times New Roman" w:eastAsia="Times New Roman" w:hAnsi="Times New Roman"/>
          <w:sz w:val="24"/>
          <w:szCs w:val="24"/>
          <w:rtl w:val="0"/>
        </w:rPr>
        <w:t xml:space="preserve">However, our project cycle analysis indicates that wholesale expansion may be undertaken after achieving break-even, utilizing economies of scale to diversify revenue streams. Although it takes longer to achieve profitability in wholesale channels, they offer significant development potential and long-term operational stability. By systematically prioritizing these sales channels, our microbrewery can reconcile short-term financial aims with long-term growth ambitions, assuring consistency with its profitability targets and market positioning.</w:t>
      </w:r>
      <w:r w:rsidDel="00000000" w:rsidR="00000000" w:rsidRPr="00000000">
        <w:rPr>
          <w:rtl w:val="0"/>
        </w:rPr>
      </w:r>
    </w:p>
    <w:p w:rsidR="00000000" w:rsidDel="00000000" w:rsidP="00000000" w:rsidRDefault="00000000" w:rsidRPr="00000000" w14:paraId="0000005F">
      <w:pPr>
        <w:pStyle w:val="Heading3"/>
        <w:spacing w:line="360" w:lineRule="auto"/>
        <w:rPr/>
      </w:pPr>
      <w:bookmarkStart w:colFirst="0" w:colLast="0" w:name="_blvxhoz7p03n" w:id="12"/>
      <w:bookmarkEnd w:id="12"/>
      <w:r w:rsidDel="00000000" w:rsidR="00000000" w:rsidRPr="00000000">
        <w:rPr>
          <w:rtl w:val="0"/>
        </w:rPr>
        <w:t xml:space="preserve">Optimization Analysis: Enhancing Production Efficiency</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Optimization Analysis tackles the difficulty of reconciling production capacity with market demand to enhance profitability by synchronizing operational strategies with the available production and sales data (Winston, 2020). A linear programming model was created to determine the ideal production mix utilizing our brewery's annual capacity of 476,160 units and demand projections for retail and wholesale sectors. This model guarantees that the retail demand, estimated at 387,401 units for FY1, is completely met owing to its superior contribution margin of $7.40 per unit. The residual capacity, around 88,759 units, is designated for wholesale manufacturing, guaranteeing optimal resource usage, albeit yielding a diminished contribution margin of $4.40.</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implementing this allocation, the microbrewery optimizes its profit potential for FY1 while preserving the flexibility to adapt to market developments. This analysis highlights the significance of strategic resource allocation in fulfilling customer demand and achieving financial results, assuring the brewery's competitiveness in Houston's dynamic craft beer industry (Chopra &amp; Meindl, 2021). The microbrewery has an annual brewing capacity of 476,160 units, catering to retail and wholesale markets. Considering the demand projection of 387,401 retail and 1,373,512 units wholesale units in the inaugural fiscal year, the strategic distribution of resources is essential.</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uses linear programming techniques to determine an ideal production mix that prioritizes retail demand and utilizes excess capacity for wholesale output. Our microbrewery anticipates a projected profit of $3.29 million in the first year by satisfying retail demand with 387,401 units and designating a surplus capacity of 88,759 units for wholesale distribution. This strategy optimizes financial returns and guarantees customer pleasure by synchronizing production with market demands.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underscores the significance of agile production planning and inventory management. By continuously observing market trends and modifying production schedules, the microbrewery can adapt to demand variations, reduce waste, and maintain uniform product quality. This proactive strategy enables the organization to seize growth opportunities while reducing operational risks.</w:t>
      </w:r>
    </w:p>
    <w:p w:rsidR="00000000" w:rsidDel="00000000" w:rsidP="00000000" w:rsidRDefault="00000000" w:rsidRPr="00000000" w14:paraId="00000064">
      <w:pPr>
        <w:pStyle w:val="Heading3"/>
        <w:spacing w:line="360" w:lineRule="auto"/>
        <w:rPr/>
      </w:pPr>
      <w:bookmarkStart w:colFirst="0" w:colLast="0" w:name="_67rl18fb9fho" w:id="13"/>
      <w:bookmarkEnd w:id="13"/>
      <w:r w:rsidDel="00000000" w:rsidR="00000000" w:rsidRPr="00000000">
        <w:rPr>
          <w:rtl w:val="0"/>
        </w:rPr>
        <w:t xml:space="preserve">Risk Assessment: Alleviating Uncertainties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Analysis offers a systematic framework for recognizing and mitigating potential problems affecting the microbrewery's performance, closely correlating with the specific risks established in the preceding SWOT and PESTEL investigations. The SWOT analysis underscores the microbrewery's dependence on the Houston market, which exposes it to risks associated with local economic recessions and shifts in consumer tastes. Likewise, the PESTEL study recognizes regulatory intricacies and competitiveness as major external concerns (Hubbard, 2020). The study facilitates our microbrewery's implementation of specific mitigation solutions through rigorous risk evaluation. Diversifying sales channels beyond Houston helps mitigate reliance on the local market, while dynamic pricing strategies and loyalty programs can stabilize revenue during economic fluctuations.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establishing long-term supplier agreements and incorporating sustainable brewing methodologies, as recommended in the environmental segment of the PESTEL research, helps mitigate cost fluctuations and resonate with consumer inclinations for environmentally friendly products. This thorough strategy strengthens the business against anticipated problems and improves its capacity to seize new possibilities. The study examines multiple scenarios, including optimistic, base, and pessimistic outcomes, to assess the robustness of the business model (Hillson &amp; Simon, 2020).</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Fluctuations in market demand pose a considerable risk, mainly due to the seasonal characteristics of craft beer consumption and the possible effects of economic recessions. Scenario analysis indicates that a 20% decline in demand may diminish revenues to $2.63 million, highlighting the necessity for proactive risk mitigation techniques. These include broadening distribution channels outside the local market, employing dynamic pricing to respond to fluctuating conditions, and improving client retention via loyalty programs.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fluctuation, especially in raw materials and labor, is a significant risk. To mitigate this issue, the microbrewery may establish long-term agreements with suppliers and investigate automation solutions to diminish dependence on manual labor. Regulatory compliance is prioritized through frequent audits and legal assessments to ensure adherence to license and tax obligations.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advocates creating an emergency reserve fund to mitigate the business's vulnerability to unexpected disruptions, such as supply chain outages or regulatory alterations. The microbrewery can protect its financial stability and ensure operational continuity by implementing a proactive risk management strategy.</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in all, by implementing high-impact marketing strategies specifically designed for Houston's craft beer market, focusing on retail production to enhance profit margins, and adopting agile operational practices, the microbrewery is well-positioned to navigate the opportunities and challenges of this dynamic landscape. The strategic emphasis on digital marketing leverages Houston's youthful, technologically adept demographic, facilitating targeted outreach and enhancing customer interaction. Prioritizing retail output concurrently facilitates a swiffer route to profitability by utilizing elevated contribution margins and fostering robust client interactions.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agile operational procedures, including dynamic production scheduling and real-time inventory management, improve responsiveness to market swings and consumer preferences, maintaining the microbrewery's competitiveness and adaptability in a swiftly changing market. The findings from these analytics enable the business to make educated decisions, adjust to evolving market dynamics, and establish a durable competitive edge in Houston's thriving craft beer sector.</w:t>
      </w:r>
    </w:p>
    <w:p w:rsidR="00000000" w:rsidDel="00000000" w:rsidP="00000000" w:rsidRDefault="00000000" w:rsidRPr="00000000" w14:paraId="0000006C">
      <w:pPr>
        <w:pStyle w:val="Heading3"/>
        <w:rPr/>
      </w:pPr>
      <w:bookmarkStart w:colFirst="0" w:colLast="0" w:name="_w1tgv3uoiz6f" w:id="14"/>
      <w:bookmarkEnd w:id="14"/>
      <w:r w:rsidDel="00000000" w:rsidR="00000000" w:rsidRPr="00000000">
        <w:rPr>
          <w:rtl w:val="0"/>
        </w:rPr>
        <w:t xml:space="preserve">Evaluation of the Output Parameters </w:t>
      </w:r>
      <w:r w:rsidDel="00000000" w:rsidR="00000000" w:rsidRPr="00000000">
        <w:rPr>
          <w:rtl w:val="0"/>
        </w:rPr>
        <w:t xml:space="preserve">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analysis of the output data from the two simulation cycles, each cycle offers a set of business parameters that address specific operational strategies. In consideration  of the key business factors such as financial growth, cost efficiency, workforce allocation, and strategic alignment with the company's long-term goals and objectives, Cycle 1 simulation output data offers the best business parameters for our proposed microbrewery in Houston due to its strong revenue growth, profitability, and operational efficiency. In Cycle 1, revenue is projected to grow from $9,590,160 in FY1 to $14,173,200 in FY2, and $16,700,320 in FY3 respectively.The  net profit also is estimated to increase from $5,431,699.59 in FY1 to $10,208,251.85 in FY3. This indicates a consistent growth in revenue, net profit and improved gross profit margins from 0.76 in FY1 to 0.82 in FY3 therefore highlighting a robust business model that will be capable of supporting expansion and growth. The workforce structure in Cycle 1, that includes Brewery Workers and Salesmen, ensures that there is sufficient capacity to scale operations and meet  the market demand. Additionally, Cycle 1’s ability to achieve break-even in just 1.38 months with a revenue of $560,228.56 demonstrates its financial health and quick return on investment, which is vital for a new venture.  Cycle 2 of the simulation on the other hand focuses more on reducing the workforce to five employees and reallocation of resources to administrative roles, budget cuts to $327,500 which could potentially affect production capacity and this could hinder the ability to support new projects. Therefore, Cycle 1's balance of revenue growth, profitability, and workforce structure makes it the more suitable choice for launching the microbrewery business.</w:t>
      </w:r>
    </w:p>
    <w:p w:rsidR="00000000" w:rsidDel="00000000" w:rsidP="00000000" w:rsidRDefault="00000000" w:rsidRPr="00000000" w14:paraId="0000006E">
      <w:pPr>
        <w:pStyle w:val="Heading3"/>
        <w:spacing w:line="360" w:lineRule="auto"/>
        <w:rPr/>
      </w:pPr>
      <w:bookmarkStart w:colFirst="0" w:colLast="0" w:name="_eaz9y8edyp1" w:id="15"/>
      <w:bookmarkEnd w:id="15"/>
      <w:r w:rsidDel="00000000" w:rsidR="00000000" w:rsidRPr="00000000">
        <w:rPr>
          <w:rtl w:val="0"/>
        </w:rPr>
        <w:t xml:space="preserve">Recommended Decision Strategy</w:t>
      </w:r>
    </w:p>
    <w:p w:rsidR="00000000" w:rsidDel="00000000" w:rsidP="00000000" w:rsidRDefault="00000000" w:rsidRPr="00000000" w14:paraId="0000006F">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retail-focused launch will achieve profitability quickly through higher margins, strengthening direct customer relationships and building brand loyalty. Digital marketing campaigns on platforms such as Instagram and Facebook should target a young and tech-savvy audience while driving community engagement through events and seasonal promotions.</w:t>
      </w:r>
    </w:p>
    <w:p w:rsidR="00000000" w:rsidDel="00000000" w:rsidP="00000000" w:rsidRDefault="00000000" w:rsidRPr="00000000" w14:paraId="00000070">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and operations should be optimized using linear programming to align production with demand forecasts, maximize resource utilization and reduce waste. Strict cost control measures as well as exploring automation options will further improve productivity and profitability.</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mitigate risk, diversifying distribution channels outside of Houston will reduce dependence on local demand, while establishing long-term supplier agreements and a reserve fund for unforeseen disruptions and cost fluctuations. In addition, sustainability initiatives, such as adopting environmentally friendly brewing processes and materials, will resonate with consumer preferences and contribute to cost savings.</w:t>
      </w:r>
    </w:p>
    <w:p w:rsidR="00000000" w:rsidDel="00000000" w:rsidP="00000000" w:rsidRDefault="00000000" w:rsidRPr="00000000" w14:paraId="00000072">
      <w:pPr>
        <w:pStyle w:val="Heading3"/>
        <w:spacing w:line="360" w:lineRule="auto"/>
        <w:rPr/>
      </w:pPr>
      <w:bookmarkStart w:colFirst="0" w:colLast="0" w:name="_xjr9fmpb7oi6" w:id="16"/>
      <w:bookmarkEnd w:id="16"/>
      <w:r w:rsidDel="00000000" w:rsidR="00000000" w:rsidRPr="00000000">
        <w:rPr>
          <w:rtl w:val="0"/>
        </w:rPr>
        <w:t xml:space="preserve">Conclusion</w:t>
      </w:r>
    </w:p>
    <w:p w:rsidR="00000000" w:rsidDel="00000000" w:rsidP="00000000" w:rsidRDefault="00000000" w:rsidRPr="00000000" w14:paraId="00000073">
      <w:pPr>
        <w:spacing w:line="360" w:lineRule="auto"/>
        <w:ind w:firstLine="720"/>
        <w:rPr>
          <w:rFonts w:ascii="Times New Roman" w:cs="Times New Roman" w:eastAsia="Times New Roman" w:hAnsi="Times New Roman"/>
          <w:color w:val="4f81bd"/>
          <w:sz w:val="28"/>
          <w:szCs w:val="28"/>
        </w:rPr>
      </w:pPr>
      <w:r w:rsidDel="00000000" w:rsidR="00000000" w:rsidRPr="00000000">
        <w:rPr>
          <w:rFonts w:ascii="Times New Roman" w:cs="Times New Roman" w:eastAsia="Times New Roman" w:hAnsi="Times New Roman"/>
          <w:sz w:val="24"/>
          <w:szCs w:val="24"/>
          <w:rtl w:val="0"/>
        </w:rPr>
        <w:t xml:space="preserve">Given the current financial projections, competitive market position, operational efficiency, and risk mitigation strategies, a $150,000 investment in a microbrewery is not recommended. However, if the business investor decides to invest in this project, the following is recommended: the owner should monitor the implementation of the recommended strategies, especially in the areas of digital marketing and production optimization, to ensure that it meets projected results. If these strategies are implemented effectively, the investment has a probability of success and sustainable growth.</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color w:val="4f81bd"/>
          <w:sz w:val="28"/>
          <w:szCs w:val="28"/>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color w:val="4f81bd"/>
          <w:sz w:val="28"/>
          <w:szCs w:val="28"/>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color w:val="4f81bd"/>
          <w:sz w:val="28"/>
          <w:szCs w:val="28"/>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color w:val="4f81bd"/>
          <w:sz w:val="28"/>
          <w:szCs w:val="28"/>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color w:val="4f81bd"/>
          <w:sz w:val="28"/>
          <w:szCs w:val="28"/>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f81bd"/>
          <w:sz w:val="28"/>
          <w:szCs w:val="28"/>
          <w:rtl w:val="0"/>
        </w:rPr>
        <w:t xml:space="preserve">References</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Brewer, P. C., Garrison, R. H., &amp; Noreen, E. W. (2020). </w:t>
      </w:r>
      <w:r w:rsidDel="00000000" w:rsidR="00000000" w:rsidRPr="00000000">
        <w:rPr>
          <w:rFonts w:ascii="Times New Roman" w:cs="Times New Roman" w:eastAsia="Times New Roman" w:hAnsi="Times New Roman"/>
          <w:sz w:val="24"/>
          <w:szCs w:val="24"/>
          <w:rtl w:val="0"/>
        </w:rPr>
        <w:t xml:space="preserve">Introduction to Managerial Accounting</w:t>
      </w:r>
      <w:r w:rsidDel="00000000" w:rsidR="00000000" w:rsidRPr="00000000">
        <w:rPr>
          <w:rFonts w:ascii="Times New Roman" w:cs="Times New Roman" w:eastAsia="Times New Roman" w:hAnsi="Times New Roman"/>
          <w:sz w:val="24"/>
          <w:szCs w:val="24"/>
          <w:rtl w:val="0"/>
        </w:rPr>
        <w:t xml:space="preserve"> (9th ed.). McGraw Hill Education, pp. 109-112.</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Brewers Association. (2022). Economic Impact of Craft Beer in the United States. Retrieved from</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sz w:val="24"/>
            <w:szCs w:val="24"/>
            <w:rtl w:val="0"/>
          </w:rPr>
          <w:t xml:space="preserve">https://www.brewersassociation.org/statistics-and-data/</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Chopra, S., &amp; Meindl, P. (2021). </w:t>
      </w:r>
      <w:r w:rsidDel="00000000" w:rsidR="00000000" w:rsidRPr="00000000">
        <w:rPr>
          <w:rFonts w:ascii="Times New Roman" w:cs="Times New Roman" w:eastAsia="Times New Roman" w:hAnsi="Times New Roman"/>
          <w:sz w:val="24"/>
          <w:szCs w:val="24"/>
          <w:rtl w:val="0"/>
        </w:rPr>
        <w:t xml:space="preserve">Supply Chain Management: Strategy, Planning, and Operation</w:t>
      </w:r>
      <w:r w:rsidDel="00000000" w:rsidR="00000000" w:rsidRPr="00000000">
        <w:rPr>
          <w:rFonts w:ascii="Times New Roman" w:cs="Times New Roman" w:eastAsia="Times New Roman" w:hAnsi="Times New Roman"/>
          <w:sz w:val="24"/>
          <w:szCs w:val="24"/>
          <w:rtl w:val="0"/>
        </w:rPr>
        <w:t xml:space="preserve"> (8th ed.). Pearson Education, pp. 205-209.</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Bridge Market Research. (2023). Craft Beer Market Scope and Growth Analysis by 2030. Retrieved from</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sz w:val="24"/>
            <w:szCs w:val="24"/>
            <w:rtl w:val="0"/>
          </w:rPr>
          <w:t xml:space="preserve">https://databridgemarketresearch.com/</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Grand View Research. (2022). Craft Beer Market Size, Share &amp; Trends Analysis Report. Retrieved from</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sz w:val="24"/>
            <w:szCs w:val="24"/>
            <w:rtl w:val="0"/>
          </w:rPr>
          <w:t xml:space="preserve">https://www.grandviewresearch.com/</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Hillson, D., &amp; Simon, P. (2020). </w:t>
      </w:r>
      <w:r w:rsidDel="00000000" w:rsidR="00000000" w:rsidRPr="00000000">
        <w:rPr>
          <w:rFonts w:ascii="Times New Roman" w:cs="Times New Roman" w:eastAsia="Times New Roman" w:hAnsi="Times New Roman"/>
          <w:sz w:val="24"/>
          <w:szCs w:val="24"/>
          <w:rtl w:val="0"/>
        </w:rPr>
        <w:t xml:space="preserve">Practical Project Risk Management: The ATOM Methodology</w:t>
      </w:r>
      <w:r w:rsidDel="00000000" w:rsidR="00000000" w:rsidRPr="00000000">
        <w:rPr>
          <w:rFonts w:ascii="Times New Roman" w:cs="Times New Roman" w:eastAsia="Times New Roman" w:hAnsi="Times New Roman"/>
          <w:sz w:val="24"/>
          <w:szCs w:val="24"/>
          <w:rtl w:val="0"/>
        </w:rPr>
        <w:t xml:space="preserve"> (3rd ed.). Routledge, pp. 112-115.</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Horngren, C. T., Datar, S. M., &amp; Rajan, M. V. (2021). </w:t>
      </w:r>
      <w:r w:rsidDel="00000000" w:rsidR="00000000" w:rsidRPr="00000000">
        <w:rPr>
          <w:rFonts w:ascii="Times New Roman" w:cs="Times New Roman" w:eastAsia="Times New Roman" w:hAnsi="Times New Roman"/>
          <w:sz w:val="24"/>
          <w:szCs w:val="24"/>
          <w:rtl w:val="0"/>
        </w:rPr>
        <w:t xml:space="preserve">Cost Accounting: A Managerial Emphasis</w:t>
      </w:r>
      <w:r w:rsidDel="00000000" w:rsidR="00000000" w:rsidRPr="00000000">
        <w:rPr>
          <w:rFonts w:ascii="Times New Roman" w:cs="Times New Roman" w:eastAsia="Times New Roman" w:hAnsi="Times New Roman"/>
          <w:sz w:val="24"/>
          <w:szCs w:val="24"/>
          <w:rtl w:val="0"/>
        </w:rPr>
        <w:t xml:space="preserve"> (17th ed.). Pearson Education, pp. 193-197.</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Hubbard, D. W. (2020). </w:t>
      </w:r>
      <w:r w:rsidDel="00000000" w:rsidR="00000000" w:rsidRPr="00000000">
        <w:rPr>
          <w:rFonts w:ascii="Times New Roman" w:cs="Times New Roman" w:eastAsia="Times New Roman" w:hAnsi="Times New Roman"/>
          <w:sz w:val="24"/>
          <w:szCs w:val="24"/>
          <w:rtl w:val="0"/>
        </w:rPr>
        <w:t xml:space="preserve">The Failure of Risk Management: Why It's Broken and How to Fix It</w:t>
      </w:r>
      <w:r w:rsidDel="00000000" w:rsidR="00000000" w:rsidRPr="00000000">
        <w:rPr>
          <w:rFonts w:ascii="Times New Roman" w:cs="Times New Roman" w:eastAsia="Times New Roman" w:hAnsi="Times New Roman"/>
          <w:sz w:val="24"/>
          <w:szCs w:val="24"/>
          <w:rtl w:val="0"/>
        </w:rPr>
        <w:t xml:space="preserve"> (2nd ed.). Wiley, pp. 78-81.</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Kotler, P., &amp; Keller, K. L. (2016). </w:t>
      </w:r>
      <w:r w:rsidDel="00000000" w:rsidR="00000000" w:rsidRPr="00000000">
        <w:rPr>
          <w:rFonts w:ascii="Times New Roman" w:cs="Times New Roman" w:eastAsia="Times New Roman" w:hAnsi="Times New Roman"/>
          <w:sz w:val="24"/>
          <w:szCs w:val="24"/>
          <w:rtl w:val="0"/>
        </w:rPr>
        <w:t xml:space="preserve">Marketing Management</w:t>
      </w:r>
      <w:r w:rsidDel="00000000" w:rsidR="00000000" w:rsidRPr="00000000">
        <w:rPr>
          <w:rFonts w:ascii="Times New Roman" w:cs="Times New Roman" w:eastAsia="Times New Roman" w:hAnsi="Times New Roman"/>
          <w:sz w:val="24"/>
          <w:szCs w:val="24"/>
          <w:rtl w:val="0"/>
        </w:rPr>
        <w:t xml:space="preserve"> (15th ed.). Pearson Education, pp. 241-244.</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Ryan, D., &amp; Jones, C. (2021). </w:t>
      </w:r>
      <w:r w:rsidDel="00000000" w:rsidR="00000000" w:rsidRPr="00000000">
        <w:rPr>
          <w:rFonts w:ascii="Times New Roman" w:cs="Times New Roman" w:eastAsia="Times New Roman" w:hAnsi="Times New Roman"/>
          <w:sz w:val="24"/>
          <w:szCs w:val="24"/>
          <w:rtl w:val="0"/>
        </w:rPr>
        <w:t xml:space="preserve">Understanding Digital Marketing: A Complete Guide to Engaging Customers Online</w:t>
      </w:r>
      <w:r w:rsidDel="00000000" w:rsidR="00000000" w:rsidRPr="00000000">
        <w:rPr>
          <w:rFonts w:ascii="Times New Roman" w:cs="Times New Roman" w:eastAsia="Times New Roman" w:hAnsi="Times New Roman"/>
          <w:sz w:val="24"/>
          <w:szCs w:val="24"/>
          <w:rtl w:val="0"/>
        </w:rPr>
        <w:t xml:space="preserve"> (5th ed.). Kogan Page, pp. 56-60.</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Winston, W. L. (2020). </w:t>
      </w:r>
      <w:r w:rsidDel="00000000" w:rsidR="00000000" w:rsidRPr="00000000">
        <w:rPr>
          <w:rFonts w:ascii="Times New Roman" w:cs="Times New Roman" w:eastAsia="Times New Roman" w:hAnsi="Times New Roman"/>
          <w:sz w:val="24"/>
          <w:szCs w:val="24"/>
          <w:rtl w:val="0"/>
        </w:rPr>
        <w:t xml:space="preserve">Operations Research: Applications and Algorithms</w:t>
      </w:r>
      <w:r w:rsidDel="00000000" w:rsidR="00000000" w:rsidRPr="00000000">
        <w:rPr>
          <w:rFonts w:ascii="Times New Roman" w:cs="Times New Roman" w:eastAsia="Times New Roman" w:hAnsi="Times New Roman"/>
          <w:sz w:val="24"/>
          <w:szCs w:val="24"/>
          <w:rtl w:val="0"/>
        </w:rPr>
        <w:t xml:space="preserve"> (5th ed.). Cengage Learning, pp. 389-392.</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3"/>
        <w:rPr/>
      </w:pPr>
      <w:bookmarkStart w:colFirst="0" w:colLast="0" w:name="_fjp9k6uba7jc" w:id="17"/>
      <w:bookmarkEnd w:id="17"/>
      <w:r w:rsidDel="00000000" w:rsidR="00000000" w:rsidRPr="00000000">
        <w:rPr>
          <w:rtl w:val="0"/>
        </w:rPr>
        <w:t xml:space="preserve">Appendices</w:t>
      </w:r>
    </w:p>
    <w:p w:rsidR="00000000" w:rsidDel="00000000" w:rsidP="00000000" w:rsidRDefault="00000000" w:rsidRPr="00000000" w14:paraId="0000009D">
      <w:pPr>
        <w:jc w:val="center"/>
        <w:rPr/>
      </w:pPr>
      <w:r w:rsidDel="00000000" w:rsidR="00000000" w:rsidRPr="00000000">
        <w:rPr/>
        <w:drawing>
          <wp:inline distB="114300" distT="114300" distL="114300" distR="114300">
            <wp:extent cx="5943600" cy="2781300"/>
            <wp:effectExtent b="0" l="0" r="0" t="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pPr>
      <w:r w:rsidDel="00000000" w:rsidR="00000000" w:rsidRPr="00000000">
        <w:rPr/>
        <w:drawing>
          <wp:inline distB="114300" distT="114300" distL="114300" distR="114300">
            <wp:extent cx="5943600" cy="3568700"/>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pPr>
      <w:r w:rsidDel="00000000" w:rsidR="00000000" w:rsidRPr="00000000">
        <w:rPr/>
        <w:drawing>
          <wp:inline distB="114300" distT="114300" distL="114300" distR="114300">
            <wp:extent cx="5943600" cy="3568700"/>
            <wp:effectExtent b="0" l="0" r="0" t="0"/>
            <wp:docPr id="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jc w:val="center"/>
        <w:rPr/>
      </w:pPr>
      <w:r w:rsidDel="00000000" w:rsidR="00000000" w:rsidRPr="00000000">
        <w:rPr/>
        <w:drawing>
          <wp:inline distB="114300" distT="114300" distL="114300" distR="114300">
            <wp:extent cx="1652961" cy="4395788"/>
            <wp:effectExtent b="0" l="0" r="0" t="0"/>
            <wp:docPr id="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652961" cy="4395788"/>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pPr>
      <w:r w:rsidDel="00000000" w:rsidR="00000000" w:rsidRPr="00000000">
        <w:rPr/>
        <w:drawing>
          <wp:inline distB="114300" distT="114300" distL="114300" distR="114300">
            <wp:extent cx="5454720" cy="8767763"/>
            <wp:effectExtent b="0" l="0" r="0" t="0"/>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454720" cy="8767763"/>
                    </a:xfrm>
                    <a:prstGeom prst="rect"/>
                    <a:ln/>
                  </pic:spPr>
                </pic:pic>
              </a:graphicData>
            </a:graphic>
          </wp:inline>
        </w:drawing>
      </w:r>
      <w:r w:rsidDel="00000000" w:rsidR="00000000" w:rsidRPr="00000000">
        <w:rPr>
          <w:rtl w:val="0"/>
        </w:rPr>
      </w:r>
    </w:p>
    <w:sectPr>
      <w:headerReference r:id="rId17" w:type="default"/>
      <w:headerReference r:id="rId18" w:type="first"/>
      <w:footerReference r:id="rId1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320" w:line="360" w:lineRule="auto"/>
      <w:jc w:val="both"/>
    </w:pPr>
    <w:rPr>
      <w:rFonts w:ascii="Times New Roman" w:cs="Times New Roman" w:eastAsia="Times New Roman" w:hAnsi="Times New Roman"/>
      <w:color w:val="4f81bd"/>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randviewresearch.com/" TargetMode="External"/><Relationship Id="rId10" Type="http://schemas.openxmlformats.org/officeDocument/2006/relationships/hyperlink" Target="https://www.grandviewresearch.com/" TargetMode="External"/><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bridgemarketresearch.com/" TargetMode="External"/><Relationship Id="rId15" Type="http://schemas.openxmlformats.org/officeDocument/2006/relationships/image" Target="media/image1.png"/><Relationship Id="rId14" Type="http://schemas.openxmlformats.org/officeDocument/2006/relationships/image" Target="media/image3.png"/><Relationship Id="rId17" Type="http://schemas.openxmlformats.org/officeDocument/2006/relationships/header" Target="header2.xml"/><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hyperlink" Target="https://www.brewersassociation.org/statistics-and-data/" TargetMode="External"/><Relationship Id="rId18" Type="http://schemas.openxmlformats.org/officeDocument/2006/relationships/header" Target="header1.xml"/><Relationship Id="rId7" Type="http://schemas.openxmlformats.org/officeDocument/2006/relationships/hyperlink" Target="https://www.brewersassociation.org/statistics-and-data/" TargetMode="External"/><Relationship Id="rId8" Type="http://schemas.openxmlformats.org/officeDocument/2006/relationships/hyperlink" Target="https://databridgemarketresearc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