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System 03: Optimization</w:t>
      </w:r>
    </w:p>
    <w:p>
      <w:pPr>
        <w:spacing w:after="160"/>
      </w:pPr>
      <w:r>
        <w:rPr>
          <w:color w:val="52514E"/>
          <w:sz w:val="23"/>
        </w:rPr>
        <w:t>Preference-based design optimisation of The Ocean Cleanup’s System 03. Results and interpretation.</w:t>
      </w:r>
    </w:p>
    <w:tbl>
      <w:tblPr>
        <w:tblW w:type="auto" w:w="0"/>
        <w:jc w:val="center"/>
        <w:tblBorders>
          <w:top w:val="nil" w:sz="4" w:space="0" w:color="C9C8C2"/>
          <w:left w:val="nil" w:sz="4" w:space="0" w:color="C9C8C2"/>
          <w:bottom w:val="nil" w:sz="4" w:space="0" w:color="C9C8C2"/>
          <w:right w:val="nil" w:sz="4" w:space="0" w:color="C9C8C2"/>
          <w:insideH w:val="nil" w:sz="4" w:space="0" w:color="C9C8C2"/>
          <w:insideV w:val="nil" w:sz="4" w:space="0" w:color="C9C8C2"/>
        </w:tblBorders>
        <w:tblLayout w:type="fixed"/>
        <w:tblLook w:firstColumn="1" w:firstRow="1" w:lastColumn="0" w:lastRow="0" w:noHBand="0" w:noVBand="1" w:val="04A0"/>
      </w:tblPr>
      <w:tblGrid>
        <w:gridCol w:w="9638"/>
      </w:tblGrid>
      <w:tr>
        <w:tc>
          <w:tcPr>
            <w:tcW w:type="dxa" w:w="9638"/>
            <w:shd w:val="clear" w:color="auto" w:fill="F1F5F9"/>
            <w:tcMar>
              <w:top w:w="140" w:type="dxa"/>
              <w:left w:w="200" w:type="dxa"/>
              <w:bottom w:w="90" w:type="dxa"/>
              <w:right w:w="200" w:type="dxa"/>
            </w:tcMar>
          </w:tcPr>
          <w:p>
            <w:r>
              <w:rPr>
                <w:b/>
                <w:color w:val="123B5D"/>
                <w:sz w:val="24"/>
              </w:rPr>
              <w:t>Abstract</w:t>
            </w:r>
          </w:p>
          <w:p>
            <w:pPr>
              <w:pStyle w:val="ListBullet"/>
              <w:spacing w:after="60"/>
            </w:pPr>
            <w:r>
              <w:rPr>
                <w:b/>
              </w:rPr>
              <w:t>Scale up, in every scenario.</w:t>
            </w:r>
            <w:r>
              <w:rPr/>
              <w:t xml:space="preserve"> With min-max aggregation the best design deploys two systems (technical and social cycle) or three (environmental priority). One system is limited by its retention zone to about 910 t of plastic per year, which leaves The Ocean Cleanup at a score of 45 out of 100.</w:t>
            </w:r>
          </w:p>
          <w:p>
            <w:pPr>
              <w:pStyle w:val="ListBullet"/>
              <w:spacing w:after="60"/>
            </w:pPr>
            <w:r>
              <w:rPr>
                <w:b/>
              </w:rPr>
              <w:t>Who is heard decides how the fleet is towed.</w:t>
            </w:r>
            <w:r>
              <w:rPr/>
              <w:t xml:space="preserve"> With environmental priority the fleet slows from 0.60 to 0.31 m/s and uses a 20 mm mesh instead of 10 mm. Bycatch per tonne of plastic drops from 65 to 22 animals.</w:t>
            </w:r>
          </w:p>
          <w:p>
            <w:pPr>
              <w:pStyle w:val="ListBullet"/>
              <w:spacing w:after="60"/>
            </w:pPr>
            <w:r>
              <w:rPr>
                <w:b/>
              </w:rPr>
              <w:t>Today’s single system is close to the compromise on average, and it can still be improved.</w:t>
            </w:r>
            <w:r>
              <w:rPr/>
              <w:t xml:space="preserve"> Tetra chooses one system in all three cycles. Its technical-cycle design is today’s system towed wider and slower with a coarser mesh: 6 % more plastic, 24 % less bycatch and 3 % lower cost.</w:t>
            </w:r>
          </w:p>
          <w:p>
            <w:pPr>
              <w:pStyle w:val="ListBullet"/>
              <w:spacing w:after="60"/>
            </w:pPr>
            <w:r>
              <w:rPr>
                <w:b/>
              </w:rPr>
              <w:t>Fleet size is a funding question.</w:t>
            </w:r>
            <w:r>
              <w:rPr/>
              <w:t xml:space="preserve"> If the donors’ budget limits double, the optimum moves from two to four systems.</w:t>
            </w:r>
          </w:p>
        </w:tc>
      </w:tr>
    </w:tbl>
    <w:p>
      <w:pPr>
        <w:spacing w:after="0" w:line="100" w:lineRule="exact"/>
      </w:pPr>
    </w:p>
    <w:p>
      <w:pPr>
        <w:pStyle w:val="Heading1"/>
      </w:pPr>
      <w:r>
        <w:t>1. The model in brief</w:t>
      </w:r>
    </w:p>
    <w:p>
      <w:r>
        <w:rPr/>
        <w:t>The model describes a fleet of System 03 units with five design variables and scores every design for five stakeholders. Each stakeholder has one objective, a preference curve that turns the objective value into a score from 0 to 100, and a weight. A genetic algorithm searches for the design with the best group preference. Formulas, constants and sources are in OceanCleanup_System03.ipynb and Constants_and_Sources.ipynb.</w:t>
      </w:r>
    </w:p>
    <w:tbl>
      <w:tblPr>
        <w:tblW w:type="auto" w:w="0"/>
        <w:jc w:val="center"/>
        <w:tblBorders>
          <w:top w:val="single" w:sz="4" w:space="0" w:color="C9C8C2"/>
          <w:left w:val="nil" w:sz="4" w:space="0" w:color="C9C8C2"/>
          <w:bottom w:val="single" w:sz="4" w:space="0" w:color="C9C8C2"/>
          <w:right w:val="nil" w:sz="4" w:space="0" w:color="C9C8C2"/>
          <w:insideH w:val="single" w:sz="4" w:space="0" w:color="C9C8C2"/>
          <w:insideV w:val="nil" w:sz="4" w:space="0" w:color="C9C8C2"/>
        </w:tblBorders>
        <w:tblLayout w:type="fixed"/>
        <w:tblLook w:firstColumn="1" w:firstRow="1" w:lastColumn="0" w:lastRow="0" w:noHBand="0" w:noVBand="1" w:val="04A0"/>
      </w:tblPr>
      <w:tblGrid>
        <w:gridCol w:w="2409"/>
        <w:gridCol w:w="2409"/>
        <w:gridCol w:w="2409"/>
        <w:gridCol w:w="2409"/>
      </w:tblGrid>
      <w:tr>
        <w:trPr>
          <w:cantSplit/>
        </w:trPr>
        <w:tc>
          <w:tcPr>
            <w:tcW w:type="dxa" w:w="1871"/>
            <w:shd w:val="clear" w:color="auto" w:fill="E8EEF4"/>
            <w:vAlign w:val="center"/>
          </w:tcPr>
          <w:p>
            <w:pPr>
              <w:spacing w:after="30" w:before="30" w:line="240" w:lineRule="auto"/>
              <w:jc w:val="left"/>
            </w:pPr>
            <w:r>
              <w:rPr>
                <w:b/>
                <w:color w:val="123B5D"/>
                <w:sz w:val="19"/>
              </w:rPr>
              <w:t>Design variable</w:t>
            </w:r>
          </w:p>
        </w:tc>
        <w:tc>
          <w:tcPr>
            <w:tcW w:type="dxa" w:w="1644"/>
            <w:shd w:val="clear" w:color="auto" w:fill="E8EEF4"/>
            <w:vAlign w:val="center"/>
          </w:tcPr>
          <w:p>
            <w:pPr>
              <w:spacing w:after="30" w:before="30" w:line="240" w:lineRule="auto"/>
              <w:jc w:val="left"/>
            </w:pPr>
            <w:r>
              <w:rPr>
                <w:b/>
                <w:color w:val="123B5D"/>
                <w:sz w:val="19"/>
              </w:rPr>
              <w:t>Bounds</w:t>
            </w:r>
          </w:p>
        </w:tc>
        <w:tc>
          <w:tcPr>
            <w:tcW w:type="dxa" w:w="1077"/>
            <w:shd w:val="clear" w:color="auto" w:fill="E8EEF4"/>
            <w:vAlign w:val="center"/>
          </w:tcPr>
          <w:p>
            <w:pPr>
              <w:spacing w:after="30" w:before="30" w:line="240" w:lineRule="auto"/>
              <w:jc w:val="left"/>
            </w:pPr>
            <w:r>
              <w:rPr>
                <w:b/>
                <w:color w:val="123B5D"/>
                <w:sz w:val="19"/>
              </w:rPr>
              <w:t>Today</w:t>
            </w:r>
          </w:p>
        </w:tc>
        <w:tc>
          <w:tcPr>
            <w:tcW w:type="dxa" w:w="5046"/>
            <w:shd w:val="clear" w:color="auto" w:fill="E8EEF4"/>
            <w:vAlign w:val="center"/>
          </w:tcPr>
          <w:p>
            <w:pPr>
              <w:spacing w:after="30" w:before="30" w:line="240" w:lineRule="auto"/>
              <w:jc w:val="left"/>
            </w:pPr>
            <w:r>
              <w:rPr>
                <w:b/>
                <w:color w:val="123B5D"/>
                <w:sz w:val="19"/>
              </w:rPr>
              <w:t>A higher value means</w:t>
            </w:r>
          </w:p>
        </w:tc>
      </w:tr>
      <w:tr>
        <w:trPr>
          <w:cantSplit/>
        </w:trPr>
        <w:tc>
          <w:tcPr>
            <w:tcW w:type="dxa" w:w="1871"/>
            <w:vAlign w:val="center"/>
          </w:tcPr>
          <w:p>
            <w:pPr>
              <w:spacing w:after="30" w:before="30" w:line="240" w:lineRule="auto"/>
              <w:jc w:val="left"/>
            </w:pPr>
            <w:r>
              <w:rPr>
                <w:b/>
                <w:sz w:val="19"/>
              </w:rPr>
              <w:t>Skirt depth</w:t>
            </w:r>
          </w:p>
        </w:tc>
        <w:tc>
          <w:tcPr>
            <w:tcW w:type="dxa" w:w="1644"/>
            <w:vAlign w:val="center"/>
          </w:tcPr>
          <w:p>
            <w:pPr>
              <w:spacing w:after="30" w:before="30" w:line="240" w:lineRule="auto"/>
              <w:jc w:val="left"/>
            </w:pPr>
            <w:r>
              <w:rPr>
                <w:sz w:val="19"/>
              </w:rPr>
              <w:t>3 – 6 m</w:t>
            </w:r>
          </w:p>
        </w:tc>
        <w:tc>
          <w:tcPr>
            <w:tcW w:type="dxa" w:w="1077"/>
            <w:vAlign w:val="center"/>
          </w:tcPr>
          <w:p>
            <w:pPr>
              <w:spacing w:after="30" w:before="30" w:line="240" w:lineRule="auto"/>
              <w:jc w:val="left"/>
            </w:pPr>
            <w:r>
              <w:rPr>
                <w:sz w:val="19"/>
              </w:rPr>
              <w:t>4 m</w:t>
            </w:r>
          </w:p>
        </w:tc>
        <w:tc>
          <w:tcPr>
            <w:tcW w:type="dxa" w:w="5046"/>
            <w:vAlign w:val="center"/>
          </w:tcPr>
          <w:p>
            <w:pPr>
              <w:spacing w:after="30" w:before="30" w:line="240" w:lineRule="auto"/>
              <w:jc w:val="left"/>
            </w:pPr>
            <w:r>
              <w:rPr>
                <w:sz w:val="19"/>
              </w:rPr>
              <w:t>less plastic lost under the skirt; more drag, and fish escape less easily</w:t>
            </w:r>
          </w:p>
        </w:tc>
      </w:tr>
      <w:tr>
        <w:trPr>
          <w:cantSplit/>
        </w:trPr>
        <w:tc>
          <w:tcPr>
            <w:tcW w:type="dxa" w:w="1871"/>
            <w:vAlign w:val="center"/>
          </w:tcPr>
          <w:p>
            <w:pPr>
              <w:spacing w:after="30" w:before="30" w:line="240" w:lineRule="auto"/>
              <w:jc w:val="left"/>
            </w:pPr>
            <w:r>
              <w:rPr>
                <w:b/>
                <w:sz w:val="19"/>
              </w:rPr>
              <w:t>Vessel spacing</w:t>
            </w:r>
          </w:p>
        </w:tc>
        <w:tc>
          <w:tcPr>
            <w:tcW w:type="dxa" w:w="1644"/>
            <w:vAlign w:val="center"/>
          </w:tcPr>
          <w:p>
            <w:pPr>
              <w:spacing w:after="30" w:before="30" w:line="240" w:lineRule="auto"/>
              <w:jc w:val="left"/>
            </w:pPr>
            <w:r>
              <w:rPr>
                <w:sz w:val="19"/>
              </w:rPr>
              <w:t>520 – 1,800 m</w:t>
            </w:r>
          </w:p>
        </w:tc>
        <w:tc>
          <w:tcPr>
            <w:tcW w:type="dxa" w:w="1077"/>
            <w:vAlign w:val="center"/>
          </w:tcPr>
          <w:p>
            <w:pPr>
              <w:spacing w:after="30" w:before="30" w:line="240" w:lineRule="auto"/>
              <w:jc w:val="left"/>
            </w:pPr>
            <w:r>
              <w:rPr>
                <w:sz w:val="19"/>
              </w:rPr>
              <w:t>1,460 m</w:t>
            </w:r>
          </w:p>
        </w:tc>
        <w:tc>
          <w:tcPr>
            <w:tcW w:type="dxa" w:w="5046"/>
            <w:vAlign w:val="center"/>
          </w:tcPr>
          <w:p>
            <w:pPr>
              <w:spacing w:after="30" w:before="30" w:line="240" w:lineRule="auto"/>
              <w:jc w:val="left"/>
            </w:pPr>
            <w:r>
              <w:rPr>
                <w:sz w:val="19"/>
              </w:rPr>
              <w:t>more plastic met; more drag and fuel, more bycatch</w:t>
            </w:r>
          </w:p>
        </w:tc>
      </w:tr>
      <w:tr>
        <w:trPr>
          <w:cantSplit/>
        </w:trPr>
        <w:tc>
          <w:tcPr>
            <w:tcW w:type="dxa" w:w="1871"/>
            <w:vAlign w:val="center"/>
          </w:tcPr>
          <w:p>
            <w:pPr>
              <w:spacing w:after="30" w:before="30" w:line="240" w:lineRule="auto"/>
              <w:jc w:val="left"/>
            </w:pPr>
            <w:r>
              <w:rPr>
                <w:b/>
                <w:sz w:val="19"/>
              </w:rPr>
              <w:t>Number of systems</w:t>
            </w:r>
          </w:p>
        </w:tc>
        <w:tc>
          <w:tcPr>
            <w:tcW w:type="dxa" w:w="1644"/>
            <w:vAlign w:val="center"/>
          </w:tcPr>
          <w:p>
            <w:pPr>
              <w:spacing w:after="30" w:before="30" w:line="240" w:lineRule="auto"/>
              <w:jc w:val="left"/>
            </w:pPr>
            <w:r>
              <w:rPr>
                <w:sz w:val="19"/>
              </w:rPr>
              <w:t>1 – 20</w:t>
            </w:r>
          </w:p>
        </w:tc>
        <w:tc>
          <w:tcPr>
            <w:tcW w:type="dxa" w:w="1077"/>
            <w:vAlign w:val="center"/>
          </w:tcPr>
          <w:p>
            <w:pPr>
              <w:spacing w:after="30" w:before="30" w:line="240" w:lineRule="auto"/>
              <w:jc w:val="left"/>
            </w:pPr>
            <w:r>
              <w:rPr>
                <w:sz w:val="19"/>
              </w:rPr>
              <w:t>1</w:t>
            </w:r>
          </w:p>
        </w:tc>
        <w:tc>
          <w:tcPr>
            <w:tcW w:type="dxa" w:w="5046"/>
            <w:vAlign w:val="center"/>
          </w:tcPr>
          <w:p>
            <w:pPr>
              <w:spacing w:after="30" w:before="30" w:line="240" w:lineRule="auto"/>
              <w:jc w:val="left"/>
            </w:pPr>
            <w:r>
              <w:rPr>
                <w:sz w:val="19"/>
              </w:rPr>
              <w:t>plastic, cost, bycatch and closed sea area all scale with the fleet</w:t>
            </w:r>
          </w:p>
        </w:tc>
      </w:tr>
      <w:tr>
        <w:trPr>
          <w:cantSplit/>
        </w:trPr>
        <w:tc>
          <w:tcPr>
            <w:tcW w:type="dxa" w:w="1871"/>
            <w:vAlign w:val="center"/>
          </w:tcPr>
          <w:p>
            <w:pPr>
              <w:spacing w:after="30" w:before="30" w:line="240" w:lineRule="auto"/>
              <w:jc w:val="left"/>
            </w:pPr>
            <w:r>
              <w:rPr>
                <w:b/>
                <w:sz w:val="19"/>
              </w:rPr>
              <w:t>Towing speed</w:t>
            </w:r>
          </w:p>
        </w:tc>
        <w:tc>
          <w:tcPr>
            <w:tcW w:type="dxa" w:w="1644"/>
            <w:vAlign w:val="center"/>
          </w:tcPr>
          <w:p>
            <w:pPr>
              <w:spacing w:after="30" w:before="30" w:line="240" w:lineRule="auto"/>
              <w:jc w:val="left"/>
            </w:pPr>
            <w:r>
              <w:rPr>
                <w:sz w:val="19"/>
              </w:rPr>
              <w:t>0.26 – 1.29 m/s</w:t>
            </w:r>
          </w:p>
        </w:tc>
        <w:tc>
          <w:tcPr>
            <w:tcW w:type="dxa" w:w="1077"/>
            <w:vAlign w:val="center"/>
          </w:tcPr>
          <w:p>
            <w:pPr>
              <w:spacing w:after="30" w:before="30" w:line="240" w:lineRule="auto"/>
              <w:jc w:val="left"/>
            </w:pPr>
            <w:r>
              <w:rPr>
                <w:sz w:val="19"/>
              </w:rPr>
              <w:t>0.75 m/s</w:t>
            </w:r>
          </w:p>
        </w:tc>
        <w:tc>
          <w:tcPr>
            <w:tcW w:type="dxa" w:w="5046"/>
            <w:vAlign w:val="center"/>
          </w:tcPr>
          <w:p>
            <w:pPr>
              <w:spacing w:after="30" w:before="30" w:line="240" w:lineRule="auto"/>
              <w:jc w:val="left"/>
            </w:pPr>
            <w:r>
              <w:rPr>
                <w:sz w:val="19"/>
              </w:rPr>
              <w:t>more plastic met, but more escapes under the skirt (best near 1.0 m/s); more fuel, and animals avoid the barrier less</w:t>
            </w:r>
          </w:p>
        </w:tc>
      </w:tr>
      <w:tr>
        <w:trPr>
          <w:cantSplit/>
        </w:trPr>
        <w:tc>
          <w:tcPr>
            <w:tcW w:type="dxa" w:w="1871"/>
            <w:vAlign w:val="center"/>
          </w:tcPr>
          <w:p>
            <w:pPr>
              <w:spacing w:after="30" w:before="30" w:line="240" w:lineRule="auto"/>
              <w:jc w:val="left"/>
            </w:pPr>
            <w:r>
              <w:rPr>
                <w:b/>
                <w:sz w:val="19"/>
              </w:rPr>
              <w:t>Mesh size</w:t>
            </w:r>
          </w:p>
        </w:tc>
        <w:tc>
          <w:tcPr>
            <w:tcW w:type="dxa" w:w="1644"/>
            <w:vAlign w:val="center"/>
          </w:tcPr>
          <w:p>
            <w:pPr>
              <w:spacing w:after="30" w:before="30" w:line="240" w:lineRule="auto"/>
              <w:jc w:val="left"/>
            </w:pPr>
            <w:r>
              <w:rPr>
                <w:sz w:val="19"/>
              </w:rPr>
              <w:t>10 – 20 mm</w:t>
            </w:r>
          </w:p>
        </w:tc>
        <w:tc>
          <w:tcPr>
            <w:tcW w:type="dxa" w:w="1077"/>
            <w:vAlign w:val="center"/>
          </w:tcPr>
          <w:p>
            <w:pPr>
              <w:spacing w:after="30" w:before="30" w:line="240" w:lineRule="auto"/>
              <w:jc w:val="left"/>
            </w:pPr>
            <w:r>
              <w:rPr>
                <w:sz w:val="19"/>
              </w:rPr>
              <w:t>16 mm</w:t>
            </w:r>
          </w:p>
        </w:tc>
        <w:tc>
          <w:tcPr>
            <w:tcW w:type="dxa" w:w="5046"/>
            <w:vAlign w:val="center"/>
          </w:tcPr>
          <w:p>
            <w:pPr>
              <w:spacing w:after="30" w:before="30" w:line="240" w:lineRule="auto"/>
              <w:jc w:val="left"/>
            </w:pPr>
            <w:r>
              <w:rPr>
                <w:sz w:val="19"/>
              </w:rPr>
              <w:t>fewer small fish retained; slightly less plastic retained</w:t>
            </w:r>
          </w:p>
        </w:tc>
      </w:tr>
    </w:tbl>
    <w:p>
      <w:pPr>
        <w:spacing w:after="0" w:line="100" w:lineRule="exact"/>
      </w:pPr>
    </w:p>
    <w:tbl>
      <w:tblPr>
        <w:tblW w:type="auto" w:w="0"/>
        <w:jc w:val="center"/>
        <w:tblBorders>
          <w:top w:val="single" w:sz="4" w:space="0" w:color="C9C8C2"/>
          <w:left w:val="nil" w:sz="4" w:space="0" w:color="C9C8C2"/>
          <w:bottom w:val="single" w:sz="4" w:space="0" w:color="C9C8C2"/>
          <w:right w:val="nil" w:sz="4" w:space="0" w:color="C9C8C2"/>
          <w:insideH w:val="single" w:sz="4" w:space="0" w:color="C9C8C2"/>
          <w:insideV w:val="nil" w:sz="4" w:space="0" w:color="C9C8C2"/>
        </w:tblBorders>
        <w:tblLayout w:type="fixed"/>
        <w:tblLook w:firstColumn="1" w:firstRow="1" w:lastColumn="0" w:lastRow="0" w:noHBand="0" w:noVBand="1" w:val="04A0"/>
      </w:tblPr>
      <w:tblGrid>
        <w:gridCol w:w="2409"/>
        <w:gridCol w:w="2409"/>
        <w:gridCol w:w="2409"/>
        <w:gridCol w:w="2409"/>
      </w:tblGrid>
      <w:tr>
        <w:trPr>
          <w:cantSplit/>
        </w:trPr>
        <w:tc>
          <w:tcPr>
            <w:tcW w:type="dxa" w:w="2041"/>
            <w:shd w:val="clear" w:color="auto" w:fill="E8EEF4"/>
            <w:vAlign w:val="center"/>
          </w:tcPr>
          <w:p>
            <w:pPr>
              <w:spacing w:after="30" w:before="30" w:line="240" w:lineRule="auto"/>
              <w:jc w:val="left"/>
            </w:pPr>
            <w:r>
              <w:rPr>
                <w:b/>
                <w:color w:val="123B5D"/>
                <w:sz w:val="19"/>
              </w:rPr>
              <w:t>Stakeholder</w:t>
            </w:r>
          </w:p>
        </w:tc>
        <w:tc>
          <w:tcPr>
            <w:tcW w:type="dxa" w:w="2268"/>
            <w:shd w:val="clear" w:color="auto" w:fill="E8EEF4"/>
            <w:vAlign w:val="center"/>
          </w:tcPr>
          <w:p>
            <w:pPr>
              <w:spacing w:after="30" w:before="30" w:line="240" w:lineRule="auto"/>
              <w:jc w:val="left"/>
            </w:pPr>
            <w:r>
              <w:rPr>
                <w:b/>
                <w:color w:val="123B5D"/>
                <w:sz w:val="19"/>
              </w:rPr>
              <w:t>Objective</w:t>
            </w:r>
          </w:p>
        </w:tc>
        <w:tc>
          <w:tcPr>
            <w:tcW w:type="dxa" w:w="3572"/>
            <w:shd w:val="clear" w:color="auto" w:fill="E8EEF4"/>
            <w:vAlign w:val="center"/>
          </w:tcPr>
          <w:p>
            <w:pPr>
              <w:spacing w:after="30" w:before="30" w:line="240" w:lineRule="auto"/>
              <w:jc w:val="left"/>
            </w:pPr>
            <w:r>
              <w:rPr>
                <w:b/>
                <w:color w:val="123B5D"/>
                <w:sz w:val="19"/>
              </w:rPr>
              <w:t>Preference curve: ideal / halfway / unacceptable</w:t>
            </w:r>
          </w:p>
        </w:tc>
        <w:tc>
          <w:tcPr>
            <w:tcW w:type="dxa" w:w="1757"/>
            <w:shd w:val="clear" w:color="auto" w:fill="E8EEF4"/>
            <w:vAlign w:val="center"/>
          </w:tcPr>
          <w:p>
            <w:pPr>
              <w:spacing w:after="30" w:before="30" w:line="240" w:lineRule="auto"/>
              <w:jc w:val="left"/>
            </w:pPr>
            <w:r>
              <w:rPr>
                <w:b/>
                <w:color w:val="123B5D"/>
                <w:sz w:val="19"/>
              </w:rPr>
              <w:t>Weight T · S · E</w:t>
            </w:r>
          </w:p>
        </w:tc>
      </w:tr>
      <w:tr>
        <w:trPr>
          <w:cantSplit/>
        </w:trPr>
        <w:tc>
          <w:tcPr>
            <w:tcW w:type="dxa" w:w="2041"/>
            <w:vAlign w:val="center"/>
          </w:tcPr>
          <w:p>
            <w:pPr>
              <w:spacing w:after="30" w:before="30" w:line="240" w:lineRule="auto"/>
              <w:jc w:val="left"/>
            </w:pPr>
            <w:r>
              <w:rPr>
                <w:b/>
                <w:sz w:val="19"/>
              </w:rPr>
              <w:t>Investors / donors</w:t>
            </w:r>
          </w:p>
        </w:tc>
        <w:tc>
          <w:tcPr>
            <w:tcW w:type="dxa" w:w="2268"/>
            <w:vAlign w:val="center"/>
          </w:tcPr>
          <w:p>
            <w:pPr>
              <w:spacing w:after="30" w:before="30" w:line="240" w:lineRule="auto"/>
              <w:jc w:val="left"/>
            </w:pPr>
            <w:r>
              <w:rPr>
                <w:sz w:val="19"/>
              </w:rPr>
              <w:t>Annual cost (low)</w:t>
            </w:r>
          </w:p>
        </w:tc>
        <w:tc>
          <w:tcPr>
            <w:tcW w:type="dxa" w:w="3572"/>
            <w:vAlign w:val="center"/>
          </w:tcPr>
          <w:p>
            <w:pPr>
              <w:spacing w:after="30" w:before="30" w:line="240" w:lineRule="auto"/>
              <w:jc w:val="left"/>
            </w:pPr>
            <w:r>
              <w:rPr>
                <w:sz w:val="19"/>
              </w:rPr>
              <w:t>7.5 / 30 / 60 M€ per year</w:t>
            </w:r>
          </w:p>
        </w:tc>
        <w:tc>
          <w:tcPr>
            <w:tcW w:type="dxa" w:w="1757"/>
            <w:vAlign w:val="center"/>
          </w:tcPr>
          <w:p>
            <w:pPr>
              <w:spacing w:after="30" w:before="30" w:line="240" w:lineRule="auto"/>
              <w:jc w:val="left"/>
            </w:pPr>
            <w:r>
              <w:rPr>
                <w:sz w:val="19"/>
              </w:rPr>
              <w:t>0.20 · 0.225 · 0.15</w:t>
            </w:r>
          </w:p>
        </w:tc>
      </w:tr>
      <w:tr>
        <w:trPr>
          <w:cantSplit/>
        </w:trPr>
        <w:tc>
          <w:tcPr>
            <w:tcW w:type="dxa" w:w="2041"/>
            <w:vAlign w:val="center"/>
          </w:tcPr>
          <w:p>
            <w:pPr>
              <w:spacing w:after="30" w:before="30" w:line="240" w:lineRule="auto"/>
              <w:jc w:val="left"/>
            </w:pPr>
            <w:r>
              <w:rPr>
                <w:b/>
                <w:sz w:val="19"/>
              </w:rPr>
              <w:t>The Ocean Cleanup</w:t>
            </w:r>
          </w:p>
        </w:tc>
        <w:tc>
          <w:tcPr>
            <w:tcW w:type="dxa" w:w="2268"/>
            <w:vAlign w:val="center"/>
          </w:tcPr>
          <w:p>
            <w:pPr>
              <w:spacing w:after="30" w:before="30" w:line="240" w:lineRule="auto"/>
              <w:jc w:val="left"/>
            </w:pPr>
            <w:r>
              <w:rPr>
                <w:sz w:val="19"/>
              </w:rPr>
              <w:t>Plastic removal (high)</w:t>
            </w:r>
          </w:p>
        </w:tc>
        <w:tc>
          <w:tcPr>
            <w:tcW w:type="dxa" w:w="3572"/>
            <w:vAlign w:val="center"/>
          </w:tcPr>
          <w:p>
            <w:pPr>
              <w:spacing w:after="30" w:before="30" w:line="240" w:lineRule="auto"/>
              <w:jc w:val="left"/>
            </w:pPr>
            <w:r>
              <w:rPr>
                <w:sz w:val="19"/>
              </w:rPr>
              <w:t>7,200 / 1,100 / 0 t per year</w:t>
            </w:r>
          </w:p>
        </w:tc>
        <w:tc>
          <w:tcPr>
            <w:tcW w:type="dxa" w:w="1757"/>
            <w:vAlign w:val="center"/>
          </w:tcPr>
          <w:p>
            <w:pPr>
              <w:spacing w:after="30" w:before="30" w:line="240" w:lineRule="auto"/>
              <w:jc w:val="left"/>
            </w:pPr>
            <w:r>
              <w:rPr>
                <w:sz w:val="19"/>
              </w:rPr>
              <w:t>0.20 · 0.30 · 0.20</w:t>
            </w:r>
          </w:p>
        </w:tc>
      </w:tr>
      <w:tr>
        <w:trPr>
          <w:cantSplit/>
        </w:trPr>
        <w:tc>
          <w:tcPr>
            <w:tcW w:type="dxa" w:w="2041"/>
            <w:vAlign w:val="center"/>
          </w:tcPr>
          <w:p>
            <w:pPr>
              <w:spacing w:after="30" w:before="30" w:line="240" w:lineRule="auto"/>
              <w:jc w:val="left"/>
            </w:pPr>
            <w:r>
              <w:rPr>
                <w:b/>
                <w:sz w:val="19"/>
              </w:rPr>
              <w:t>Commercial fishers</w:t>
            </w:r>
          </w:p>
        </w:tc>
        <w:tc>
          <w:tcPr>
            <w:tcW w:type="dxa" w:w="2268"/>
            <w:vAlign w:val="center"/>
          </w:tcPr>
          <w:p>
            <w:pPr>
              <w:spacing w:after="30" w:before="30" w:line="240" w:lineRule="auto"/>
              <w:jc w:val="left"/>
            </w:pPr>
            <w:r>
              <w:rPr>
                <w:sz w:val="19"/>
              </w:rPr>
              <w:t>Sea area closed to fishing (low)</w:t>
            </w:r>
          </w:p>
        </w:tc>
        <w:tc>
          <w:tcPr>
            <w:tcW w:type="dxa" w:w="3572"/>
            <w:vAlign w:val="center"/>
          </w:tcPr>
          <w:p>
            <w:pPr>
              <w:spacing w:after="30" w:before="30" w:line="240" w:lineRule="auto"/>
              <w:jc w:val="left"/>
            </w:pPr>
            <w:r>
              <w:rPr>
                <w:sz w:val="19"/>
              </w:rPr>
              <w:t>0 / 25 / 40 km²</w:t>
            </w:r>
          </w:p>
        </w:tc>
        <w:tc>
          <w:tcPr>
            <w:tcW w:type="dxa" w:w="1757"/>
            <w:vAlign w:val="center"/>
          </w:tcPr>
          <w:p>
            <w:pPr>
              <w:spacing w:after="30" w:before="30" w:line="240" w:lineRule="auto"/>
              <w:jc w:val="left"/>
            </w:pPr>
            <w:r>
              <w:rPr>
                <w:sz w:val="19"/>
              </w:rPr>
              <w:t>0.20 · 0.175 · 0.15</w:t>
            </w:r>
          </w:p>
        </w:tc>
      </w:tr>
      <w:tr>
        <w:trPr>
          <w:cantSplit/>
        </w:trPr>
        <w:tc>
          <w:tcPr>
            <w:tcW w:type="dxa" w:w="2041"/>
            <w:vAlign w:val="center"/>
          </w:tcPr>
          <w:p>
            <w:pPr>
              <w:spacing w:after="30" w:before="30" w:line="240" w:lineRule="auto"/>
              <w:jc w:val="left"/>
            </w:pPr>
            <w:r>
              <w:rPr>
                <w:b/>
                <w:sz w:val="19"/>
              </w:rPr>
              <w:t>Conservation advocates</w:t>
            </w:r>
          </w:p>
        </w:tc>
        <w:tc>
          <w:tcPr>
            <w:tcW w:type="dxa" w:w="2268"/>
            <w:vAlign w:val="center"/>
          </w:tcPr>
          <w:p>
            <w:pPr>
              <w:spacing w:after="30" w:before="30" w:line="240" w:lineRule="auto"/>
              <w:jc w:val="left"/>
            </w:pPr>
            <w:r>
              <w:rPr>
                <w:sz w:val="19"/>
              </w:rPr>
              <w:t>Bycatch (low)</w:t>
            </w:r>
          </w:p>
        </w:tc>
        <w:tc>
          <w:tcPr>
            <w:tcW w:type="dxa" w:w="3572"/>
            <w:vAlign w:val="center"/>
          </w:tcPr>
          <w:p>
            <w:pPr>
              <w:spacing w:after="30" w:before="30" w:line="240" w:lineRule="auto"/>
              <w:jc w:val="left"/>
            </w:pPr>
            <w:r>
              <w:rPr>
                <w:sz w:val="19"/>
              </w:rPr>
              <w:t>T: 2,900 / 145,000 / 290,000 animals per year</w:t>
              <w:br/>
              <w:t>S: 2,900 / 72,500 / 174,000</w:t>
              <w:br/>
              <w:t>E: 2,900 / 50,000 / 100,000</w:t>
            </w:r>
          </w:p>
        </w:tc>
        <w:tc>
          <w:tcPr>
            <w:tcW w:type="dxa" w:w="1757"/>
            <w:vAlign w:val="center"/>
          </w:tcPr>
          <w:p>
            <w:pPr>
              <w:spacing w:after="30" w:before="30" w:line="240" w:lineRule="auto"/>
              <w:jc w:val="left"/>
            </w:pPr>
            <w:r>
              <w:rPr>
                <w:sz w:val="19"/>
              </w:rPr>
              <w:t>0.20 · 0.175 · 0.35</w:t>
            </w:r>
          </w:p>
        </w:tc>
      </w:tr>
      <w:tr>
        <w:trPr>
          <w:cantSplit/>
        </w:trPr>
        <w:tc>
          <w:tcPr>
            <w:tcW w:type="dxa" w:w="2041"/>
            <w:vAlign w:val="center"/>
          </w:tcPr>
          <w:p>
            <w:pPr>
              <w:spacing w:after="30" w:before="30" w:line="240" w:lineRule="auto"/>
              <w:jc w:val="left"/>
            </w:pPr>
            <w:r>
              <w:rPr>
                <w:b/>
                <w:sz w:val="19"/>
              </w:rPr>
              <w:t>Citizens</w:t>
            </w:r>
          </w:p>
        </w:tc>
        <w:tc>
          <w:tcPr>
            <w:tcW w:type="dxa" w:w="2268"/>
            <w:vAlign w:val="center"/>
          </w:tcPr>
          <w:p>
            <w:pPr>
              <w:spacing w:after="30" w:before="30" w:line="240" w:lineRule="auto"/>
              <w:jc w:val="left"/>
            </w:pPr>
            <w:r>
              <w:rPr>
                <w:sz w:val="19"/>
              </w:rPr>
              <w:t>Net microplastic formation (low)</w:t>
            </w:r>
          </w:p>
        </w:tc>
        <w:tc>
          <w:tcPr>
            <w:tcW w:type="dxa" w:w="3572"/>
            <w:vAlign w:val="center"/>
          </w:tcPr>
          <w:p>
            <w:pPr>
              <w:spacing w:after="30" w:before="30" w:line="240" w:lineRule="auto"/>
              <w:jc w:val="left"/>
            </w:pPr>
            <w:r>
              <w:rPr>
                <w:sz w:val="19"/>
              </w:rPr>
              <w:t>T: −216 / −33 / 0 t per year</w:t>
              <w:br/>
              <w:t>S and E: −216 / −20 / 0</w:t>
            </w:r>
          </w:p>
        </w:tc>
        <w:tc>
          <w:tcPr>
            <w:tcW w:type="dxa" w:w="1757"/>
            <w:vAlign w:val="center"/>
          </w:tcPr>
          <w:p>
            <w:pPr>
              <w:spacing w:after="30" w:before="30" w:line="240" w:lineRule="auto"/>
              <w:jc w:val="left"/>
            </w:pPr>
            <w:r>
              <w:rPr>
                <w:sz w:val="19"/>
              </w:rPr>
              <w:t>0.20 · 0.125 · 0.15</w:t>
            </w:r>
          </w:p>
        </w:tc>
      </w:tr>
    </w:tbl>
    <w:p>
      <w:pPr>
        <w:spacing w:after="0" w:line="100" w:lineRule="exact"/>
      </w:pPr>
    </w:p>
    <w:p>
      <w:r>
        <w:rPr>
          <w:b/>
        </w:rPr>
        <w:t>Three cycles.</w:t>
      </w:r>
      <w:r>
        <w:rPr/>
        <w:t xml:space="preserve"> Technical (T): equal weights. Social (S): the influence-based weights of our MCDA; after seeing the technical design, the conservation advocates tighten their curve and the citizens are satisfied sooner. Environmental priority (E): a second outcome of our stakeholder game, the MCDA scenario in which the advocates weigh most and accept at most twice today’s bycatch.</w:t>
      </w:r>
    </w:p>
    <w:p>
      <w:r>
        <w:rPr>
          <w:b/>
        </w:rPr>
        <w:t>Three physical constraints.</w:t>
      </w:r>
      <w:r>
        <w:rPr/>
        <w:t xml:space="preserve"> The tension in a towing line may not exceed the bollard pull of the vessel (1,700 kN), the plastic collected in 7 towing days must fit in the retention zone (25 t), and the fuel for a 49-day campaign must fit in the tanks (2.4 million litres). Together they exclude about a fifth of the design space.</w:t>
      </w:r>
    </w:p>
    <w:p>
      <w:pPr>
        <w:pStyle w:val="Heading1"/>
      </w:pPr>
      <w:r>
        <w:t>2. Results</w:t>
      </w:r>
    </w:p>
    <w:tbl>
      <w:tblPr>
        <w:tblW w:type="auto" w:w="0"/>
        <w:jc w:val="center"/>
        <w:tblBorders>
          <w:top w:val="single" w:sz="4" w:space="0" w:color="C9C8C2"/>
          <w:left w:val="nil" w:sz="4" w:space="0" w:color="C9C8C2"/>
          <w:bottom w:val="single" w:sz="4" w:space="0" w:color="C9C8C2"/>
          <w:right w:val="nil" w:sz="4" w:space="0" w:color="C9C8C2"/>
          <w:insideH w:val="single" w:sz="4" w:space="0" w:color="C9C8C2"/>
          <w:insideV w:val="nil" w:sz="4" w:space="0" w:color="C9C8C2"/>
        </w:tblBorders>
        <w:tblLayout w:type="fixed"/>
        <w:tblLook w:firstColumn="1" w:firstRow="1" w:lastColumn="0" w:lastRow="0" w:noHBand="0" w:noVBand="1" w:val="04A0"/>
      </w:tblPr>
      <w:tblGrid>
        <w:gridCol w:w="1928"/>
        <w:gridCol w:w="1928"/>
        <w:gridCol w:w="1928"/>
        <w:gridCol w:w="1928"/>
        <w:gridCol w:w="1928"/>
      </w:tblGrid>
      <w:tr>
        <w:trPr>
          <w:cantSplit/>
        </w:trPr>
        <w:tc>
          <w:tcPr>
            <w:tcW w:type="dxa" w:w="3742"/>
            <w:shd w:val="clear" w:color="auto" w:fill="E8EEF4"/>
            <w:vAlign w:val="center"/>
          </w:tcPr>
          <w:p>
            <w:pPr>
              <w:spacing w:after="30" w:before="30" w:line="240" w:lineRule="auto"/>
              <w:jc w:val="left"/>
            </w:pPr>
          </w:p>
        </w:tc>
        <w:tc>
          <w:tcPr>
            <w:tcW w:type="dxa" w:w="1247"/>
            <w:shd w:val="clear" w:color="auto" w:fill="E8EEF4"/>
            <w:vAlign w:val="center"/>
          </w:tcPr>
          <w:p>
            <w:pPr>
              <w:spacing w:after="30" w:before="30" w:line="240" w:lineRule="auto"/>
              <w:jc w:val="right"/>
            </w:pPr>
            <w:r>
              <w:rPr>
                <w:b/>
                <w:color w:val="123B5D"/>
                <w:sz w:val="19"/>
              </w:rPr>
              <w:t>Today</w:t>
            </w:r>
          </w:p>
        </w:tc>
        <w:tc>
          <w:tcPr>
            <w:tcW w:type="dxa" w:w="1474"/>
            <w:shd w:val="clear" w:color="auto" w:fill="E8EEF4"/>
            <w:vAlign w:val="center"/>
          </w:tcPr>
          <w:p>
            <w:pPr>
              <w:spacing w:after="30" w:before="30" w:line="240" w:lineRule="auto"/>
              <w:jc w:val="right"/>
            </w:pPr>
            <w:r>
              <w:rPr>
                <w:b/>
                <w:color w:val="123B5D"/>
                <w:sz w:val="19"/>
              </w:rPr>
              <w:t>Technical cycle</w:t>
            </w:r>
          </w:p>
        </w:tc>
        <w:tc>
          <w:tcPr>
            <w:tcW w:type="dxa" w:w="1361"/>
            <w:shd w:val="clear" w:color="auto" w:fill="E8EEF4"/>
            <w:vAlign w:val="center"/>
          </w:tcPr>
          <w:p>
            <w:pPr>
              <w:spacing w:after="30" w:before="30" w:line="240" w:lineRule="auto"/>
              <w:jc w:val="right"/>
            </w:pPr>
            <w:r>
              <w:rPr>
                <w:b/>
                <w:color w:val="123B5D"/>
                <w:sz w:val="19"/>
              </w:rPr>
              <w:t>Social cycle</w:t>
            </w:r>
          </w:p>
        </w:tc>
        <w:tc>
          <w:tcPr>
            <w:tcW w:type="dxa" w:w="1814"/>
            <w:shd w:val="clear" w:color="auto" w:fill="E8EEF4"/>
            <w:vAlign w:val="center"/>
          </w:tcPr>
          <w:p>
            <w:pPr>
              <w:spacing w:after="30" w:before="30" w:line="240" w:lineRule="auto"/>
              <w:jc w:val="right"/>
            </w:pPr>
            <w:r>
              <w:rPr>
                <w:b/>
                <w:color w:val="123B5D"/>
                <w:sz w:val="19"/>
              </w:rPr>
              <w:t>Environmental priority</w:t>
            </w:r>
          </w:p>
        </w:tc>
      </w:tr>
      <w:tr>
        <w:trPr>
          <w:cantSplit/>
        </w:trPr>
        <w:tc>
          <w:tcPr>
            <w:tcW w:type="dxa" w:w="3742"/>
            <w:shd w:val="clear" w:color="auto" w:fill="F6F6F4"/>
            <w:vAlign w:val="center"/>
          </w:tcPr>
          <w:p>
            <w:pPr>
              <w:spacing w:after="30" w:before="30" w:line="240" w:lineRule="auto"/>
              <w:jc w:val="left"/>
            </w:pPr>
            <w:r>
              <w:rPr>
                <w:b/>
                <w:color w:val="123B5D"/>
                <w:sz w:val="19"/>
              </w:rPr>
              <w:t>Design</w:t>
            </w:r>
          </w:p>
        </w:tc>
        <w:tc>
          <w:tcPr>
            <w:tcW w:type="dxa" w:w="1247"/>
            <w:shd w:val="clear" w:color="auto" w:fill="F6F6F4"/>
            <w:vAlign w:val="center"/>
          </w:tcPr>
          <w:p>
            <w:pPr>
              <w:spacing w:after="30" w:before="30" w:line="240" w:lineRule="auto"/>
              <w:jc w:val="right"/>
            </w:pPr>
          </w:p>
        </w:tc>
        <w:tc>
          <w:tcPr>
            <w:tcW w:type="dxa" w:w="1474"/>
            <w:shd w:val="clear" w:color="auto" w:fill="F6F6F4"/>
            <w:vAlign w:val="center"/>
          </w:tcPr>
          <w:p>
            <w:pPr>
              <w:spacing w:after="30" w:before="30" w:line="240" w:lineRule="auto"/>
              <w:jc w:val="right"/>
            </w:pPr>
          </w:p>
        </w:tc>
        <w:tc>
          <w:tcPr>
            <w:tcW w:type="dxa" w:w="1361"/>
            <w:shd w:val="clear" w:color="auto" w:fill="F6F6F4"/>
            <w:vAlign w:val="center"/>
          </w:tcPr>
          <w:p>
            <w:pPr>
              <w:spacing w:after="30" w:before="30" w:line="240" w:lineRule="auto"/>
              <w:jc w:val="right"/>
            </w:pPr>
          </w:p>
        </w:tc>
        <w:tc>
          <w:tcPr>
            <w:tcW w:type="dxa" w:w="1814"/>
            <w:shd w:val="clear" w:color="auto" w:fill="F6F6F4"/>
            <w:vAlign w:val="center"/>
          </w:tcPr>
          <w:p>
            <w:pPr>
              <w:spacing w:after="30" w:before="30" w:line="240" w:lineRule="auto"/>
              <w:jc w:val="right"/>
            </w:pPr>
          </w:p>
        </w:tc>
      </w:tr>
      <w:tr>
        <w:trPr>
          <w:cantSplit/>
        </w:trPr>
        <w:tc>
          <w:tcPr>
            <w:tcW w:type="dxa" w:w="3742"/>
            <w:vAlign w:val="center"/>
          </w:tcPr>
          <w:p>
            <w:pPr>
              <w:spacing w:after="30" w:before="30" w:line="240" w:lineRule="auto"/>
              <w:jc w:val="left"/>
            </w:pPr>
            <w:r>
              <w:rPr>
                <w:sz w:val="19"/>
              </w:rPr>
              <w:t>Number of systems</w:t>
            </w:r>
          </w:p>
        </w:tc>
        <w:tc>
          <w:tcPr>
            <w:tcW w:type="dxa" w:w="1247"/>
            <w:vAlign w:val="center"/>
          </w:tcPr>
          <w:p>
            <w:pPr>
              <w:spacing w:after="30" w:before="30" w:line="240" w:lineRule="auto"/>
              <w:jc w:val="right"/>
            </w:pPr>
            <w:r>
              <w:rPr>
                <w:sz w:val="19"/>
              </w:rPr>
              <w:t>1</w:t>
            </w:r>
          </w:p>
        </w:tc>
        <w:tc>
          <w:tcPr>
            <w:tcW w:type="dxa" w:w="1474"/>
            <w:vAlign w:val="center"/>
          </w:tcPr>
          <w:p>
            <w:pPr>
              <w:spacing w:after="30" w:before="30" w:line="240" w:lineRule="auto"/>
              <w:jc w:val="right"/>
            </w:pPr>
            <w:r>
              <w:rPr>
                <w:sz w:val="19"/>
              </w:rPr>
              <w:t>2</w:t>
            </w:r>
          </w:p>
        </w:tc>
        <w:tc>
          <w:tcPr>
            <w:tcW w:type="dxa" w:w="1361"/>
            <w:vAlign w:val="center"/>
          </w:tcPr>
          <w:p>
            <w:pPr>
              <w:spacing w:after="30" w:before="30" w:line="240" w:lineRule="auto"/>
              <w:jc w:val="right"/>
            </w:pPr>
            <w:r>
              <w:rPr>
                <w:sz w:val="19"/>
              </w:rPr>
              <w:t>2</w:t>
            </w:r>
          </w:p>
        </w:tc>
        <w:tc>
          <w:tcPr>
            <w:tcW w:type="dxa" w:w="1814"/>
            <w:vAlign w:val="center"/>
          </w:tcPr>
          <w:p>
            <w:pPr>
              <w:spacing w:after="30" w:before="30" w:line="240" w:lineRule="auto"/>
              <w:jc w:val="right"/>
            </w:pPr>
            <w:r>
              <w:rPr>
                <w:sz w:val="19"/>
              </w:rPr>
              <w:t>3</w:t>
            </w:r>
          </w:p>
        </w:tc>
      </w:tr>
      <w:tr>
        <w:trPr>
          <w:cantSplit/>
        </w:trPr>
        <w:tc>
          <w:tcPr>
            <w:tcW w:type="dxa" w:w="3742"/>
            <w:vAlign w:val="center"/>
          </w:tcPr>
          <w:p>
            <w:pPr>
              <w:spacing w:after="30" w:before="30" w:line="240" w:lineRule="auto"/>
              <w:jc w:val="left"/>
            </w:pPr>
            <w:r>
              <w:rPr>
                <w:sz w:val="19"/>
              </w:rPr>
              <w:t>Skirt depth [m]</w:t>
            </w:r>
          </w:p>
        </w:tc>
        <w:tc>
          <w:tcPr>
            <w:tcW w:type="dxa" w:w="1247"/>
            <w:vAlign w:val="center"/>
          </w:tcPr>
          <w:p>
            <w:pPr>
              <w:spacing w:after="30" w:before="30" w:line="240" w:lineRule="auto"/>
              <w:jc w:val="right"/>
            </w:pPr>
            <w:r>
              <w:rPr>
                <w:sz w:val="19"/>
              </w:rPr>
              <w:t>4.0</w:t>
            </w:r>
          </w:p>
        </w:tc>
        <w:tc>
          <w:tcPr>
            <w:tcW w:type="dxa" w:w="1474"/>
            <w:vAlign w:val="center"/>
          </w:tcPr>
          <w:p>
            <w:pPr>
              <w:spacing w:after="30" w:before="30" w:line="240" w:lineRule="auto"/>
              <w:jc w:val="right"/>
            </w:pPr>
            <w:r>
              <w:rPr>
                <w:sz w:val="19"/>
              </w:rPr>
              <w:t>3.0</w:t>
            </w:r>
          </w:p>
        </w:tc>
        <w:tc>
          <w:tcPr>
            <w:tcW w:type="dxa" w:w="1361"/>
            <w:vAlign w:val="center"/>
          </w:tcPr>
          <w:p>
            <w:pPr>
              <w:spacing w:after="30" w:before="30" w:line="240" w:lineRule="auto"/>
              <w:jc w:val="right"/>
            </w:pPr>
            <w:r>
              <w:rPr>
                <w:sz w:val="19"/>
              </w:rPr>
              <w:t>4.3</w:t>
            </w:r>
          </w:p>
        </w:tc>
        <w:tc>
          <w:tcPr>
            <w:tcW w:type="dxa" w:w="1814"/>
            <w:vAlign w:val="center"/>
          </w:tcPr>
          <w:p>
            <w:pPr>
              <w:spacing w:after="30" w:before="30" w:line="240" w:lineRule="auto"/>
              <w:jc w:val="right"/>
            </w:pPr>
            <w:r>
              <w:rPr>
                <w:sz w:val="19"/>
              </w:rPr>
              <w:t>4.1</w:t>
            </w:r>
          </w:p>
        </w:tc>
      </w:tr>
      <w:tr>
        <w:trPr>
          <w:cantSplit/>
        </w:trPr>
        <w:tc>
          <w:tcPr>
            <w:tcW w:type="dxa" w:w="3742"/>
            <w:vAlign w:val="center"/>
          </w:tcPr>
          <w:p>
            <w:pPr>
              <w:spacing w:after="30" w:before="30" w:line="240" w:lineRule="auto"/>
              <w:jc w:val="left"/>
            </w:pPr>
            <w:r>
              <w:rPr>
                <w:sz w:val="19"/>
              </w:rPr>
              <w:t>Vessel spacing [m]</w:t>
            </w:r>
          </w:p>
        </w:tc>
        <w:tc>
          <w:tcPr>
            <w:tcW w:type="dxa" w:w="1247"/>
            <w:vAlign w:val="center"/>
          </w:tcPr>
          <w:p>
            <w:pPr>
              <w:spacing w:after="30" w:before="30" w:line="240" w:lineRule="auto"/>
              <w:jc w:val="right"/>
            </w:pPr>
            <w:r>
              <w:rPr>
                <w:sz w:val="19"/>
              </w:rPr>
              <w:t>1,460</w:t>
            </w:r>
          </w:p>
        </w:tc>
        <w:tc>
          <w:tcPr>
            <w:tcW w:type="dxa" w:w="1474"/>
            <w:vAlign w:val="center"/>
          </w:tcPr>
          <w:p>
            <w:pPr>
              <w:spacing w:after="30" w:before="30" w:line="240" w:lineRule="auto"/>
              <w:jc w:val="right"/>
            </w:pPr>
            <w:r>
              <w:rPr>
                <w:sz w:val="19"/>
              </w:rPr>
              <w:t>1,790</w:t>
            </w:r>
          </w:p>
        </w:tc>
        <w:tc>
          <w:tcPr>
            <w:tcW w:type="dxa" w:w="1361"/>
            <w:vAlign w:val="center"/>
          </w:tcPr>
          <w:p>
            <w:pPr>
              <w:spacing w:after="30" w:before="30" w:line="240" w:lineRule="auto"/>
              <w:jc w:val="right"/>
            </w:pPr>
            <w:r>
              <w:rPr>
                <w:sz w:val="19"/>
              </w:rPr>
              <w:t>1,770</w:t>
            </w:r>
          </w:p>
        </w:tc>
        <w:tc>
          <w:tcPr>
            <w:tcW w:type="dxa" w:w="1814"/>
            <w:vAlign w:val="center"/>
          </w:tcPr>
          <w:p>
            <w:pPr>
              <w:spacing w:after="30" w:before="30" w:line="240" w:lineRule="auto"/>
              <w:jc w:val="right"/>
            </w:pPr>
            <w:r>
              <w:rPr>
                <w:sz w:val="19"/>
              </w:rPr>
              <w:t>1,615</w:t>
            </w:r>
          </w:p>
        </w:tc>
      </w:tr>
      <w:tr>
        <w:trPr>
          <w:cantSplit/>
        </w:trPr>
        <w:tc>
          <w:tcPr>
            <w:tcW w:type="dxa" w:w="3742"/>
            <w:vAlign w:val="center"/>
          </w:tcPr>
          <w:p>
            <w:pPr>
              <w:spacing w:after="30" w:before="30" w:line="240" w:lineRule="auto"/>
              <w:jc w:val="left"/>
            </w:pPr>
            <w:r>
              <w:rPr>
                <w:sz w:val="19"/>
              </w:rPr>
              <w:t>Towing speed [m/s]</w:t>
            </w:r>
          </w:p>
        </w:tc>
        <w:tc>
          <w:tcPr>
            <w:tcW w:type="dxa" w:w="1247"/>
            <w:vAlign w:val="center"/>
          </w:tcPr>
          <w:p>
            <w:pPr>
              <w:spacing w:after="30" w:before="30" w:line="240" w:lineRule="auto"/>
              <w:jc w:val="right"/>
            </w:pPr>
            <w:r>
              <w:rPr>
                <w:sz w:val="19"/>
              </w:rPr>
              <w:t>0.75</w:t>
            </w:r>
          </w:p>
        </w:tc>
        <w:tc>
          <w:tcPr>
            <w:tcW w:type="dxa" w:w="1474"/>
            <w:vAlign w:val="center"/>
          </w:tcPr>
          <w:p>
            <w:pPr>
              <w:spacing w:after="30" w:before="30" w:line="240" w:lineRule="auto"/>
              <w:jc w:val="right"/>
            </w:pPr>
            <w:r>
              <w:rPr>
                <w:sz w:val="19"/>
              </w:rPr>
              <w:t>0.60</w:t>
            </w:r>
          </w:p>
        </w:tc>
        <w:tc>
          <w:tcPr>
            <w:tcW w:type="dxa" w:w="1361"/>
            <w:vAlign w:val="center"/>
          </w:tcPr>
          <w:p>
            <w:pPr>
              <w:spacing w:after="30" w:before="30" w:line="240" w:lineRule="auto"/>
              <w:jc w:val="right"/>
            </w:pPr>
            <w:r>
              <w:rPr>
                <w:sz w:val="19"/>
              </w:rPr>
              <w:t>0.59</w:t>
            </w:r>
          </w:p>
        </w:tc>
        <w:tc>
          <w:tcPr>
            <w:tcW w:type="dxa" w:w="1814"/>
            <w:vAlign w:val="center"/>
          </w:tcPr>
          <w:p>
            <w:pPr>
              <w:spacing w:after="30" w:before="30" w:line="240" w:lineRule="auto"/>
              <w:jc w:val="right"/>
            </w:pPr>
            <w:r>
              <w:rPr>
                <w:sz w:val="19"/>
              </w:rPr>
              <w:t>0.31</w:t>
            </w:r>
          </w:p>
        </w:tc>
      </w:tr>
      <w:tr>
        <w:trPr>
          <w:cantSplit/>
        </w:trPr>
        <w:tc>
          <w:tcPr>
            <w:tcW w:type="dxa" w:w="3742"/>
            <w:vAlign w:val="center"/>
          </w:tcPr>
          <w:p>
            <w:pPr>
              <w:spacing w:after="30" w:before="30" w:line="240" w:lineRule="auto"/>
              <w:jc w:val="left"/>
            </w:pPr>
            <w:r>
              <w:rPr>
                <w:sz w:val="19"/>
              </w:rPr>
              <w:t>Mesh size [mm]</w:t>
            </w:r>
          </w:p>
        </w:tc>
        <w:tc>
          <w:tcPr>
            <w:tcW w:type="dxa" w:w="1247"/>
            <w:vAlign w:val="center"/>
          </w:tcPr>
          <w:p>
            <w:pPr>
              <w:spacing w:after="30" w:before="30" w:line="240" w:lineRule="auto"/>
              <w:jc w:val="right"/>
            </w:pPr>
            <w:r>
              <w:rPr>
                <w:sz w:val="19"/>
              </w:rPr>
              <w:t>16</w:t>
            </w:r>
          </w:p>
        </w:tc>
        <w:tc>
          <w:tcPr>
            <w:tcW w:type="dxa" w:w="1474"/>
            <w:vAlign w:val="center"/>
          </w:tcPr>
          <w:p>
            <w:pPr>
              <w:spacing w:after="30" w:before="30" w:line="240" w:lineRule="auto"/>
              <w:jc w:val="right"/>
            </w:pPr>
            <w:r>
              <w:rPr>
                <w:sz w:val="19"/>
              </w:rPr>
              <w:t>10</w:t>
            </w:r>
          </w:p>
        </w:tc>
        <w:tc>
          <w:tcPr>
            <w:tcW w:type="dxa" w:w="1361"/>
            <w:vAlign w:val="center"/>
          </w:tcPr>
          <w:p>
            <w:pPr>
              <w:spacing w:after="30" w:before="30" w:line="240" w:lineRule="auto"/>
              <w:jc w:val="right"/>
            </w:pPr>
            <w:r>
              <w:rPr>
                <w:sz w:val="19"/>
              </w:rPr>
              <w:t>13</w:t>
            </w:r>
          </w:p>
        </w:tc>
        <w:tc>
          <w:tcPr>
            <w:tcW w:type="dxa" w:w="1814"/>
            <w:vAlign w:val="center"/>
          </w:tcPr>
          <w:p>
            <w:pPr>
              <w:spacing w:after="30" w:before="30" w:line="240" w:lineRule="auto"/>
              <w:jc w:val="right"/>
            </w:pPr>
            <w:r>
              <w:rPr>
                <w:sz w:val="19"/>
              </w:rPr>
              <w:t>20</w:t>
            </w:r>
          </w:p>
        </w:tc>
      </w:tr>
      <w:tr>
        <w:trPr>
          <w:cantSplit/>
        </w:trPr>
        <w:tc>
          <w:tcPr>
            <w:tcW w:type="dxa" w:w="3742"/>
            <w:shd w:val="clear" w:color="auto" w:fill="F6F6F4"/>
            <w:vAlign w:val="center"/>
          </w:tcPr>
          <w:p>
            <w:pPr>
              <w:spacing w:after="30" w:before="30" w:line="240" w:lineRule="auto"/>
              <w:jc w:val="left"/>
            </w:pPr>
            <w:r>
              <w:rPr>
                <w:b/>
                <w:color w:val="123B5D"/>
                <w:sz w:val="19"/>
              </w:rPr>
              <w:t>Objectives</w:t>
            </w:r>
          </w:p>
        </w:tc>
        <w:tc>
          <w:tcPr>
            <w:tcW w:type="dxa" w:w="1247"/>
            <w:shd w:val="clear" w:color="auto" w:fill="F6F6F4"/>
            <w:vAlign w:val="center"/>
          </w:tcPr>
          <w:p>
            <w:pPr>
              <w:spacing w:after="30" w:before="30" w:line="240" w:lineRule="auto"/>
              <w:jc w:val="right"/>
            </w:pPr>
          </w:p>
        </w:tc>
        <w:tc>
          <w:tcPr>
            <w:tcW w:type="dxa" w:w="1474"/>
            <w:shd w:val="clear" w:color="auto" w:fill="F6F6F4"/>
            <w:vAlign w:val="center"/>
          </w:tcPr>
          <w:p>
            <w:pPr>
              <w:spacing w:after="30" w:before="30" w:line="240" w:lineRule="auto"/>
              <w:jc w:val="right"/>
            </w:pPr>
          </w:p>
        </w:tc>
        <w:tc>
          <w:tcPr>
            <w:tcW w:type="dxa" w:w="1361"/>
            <w:shd w:val="clear" w:color="auto" w:fill="F6F6F4"/>
            <w:vAlign w:val="center"/>
          </w:tcPr>
          <w:p>
            <w:pPr>
              <w:spacing w:after="30" w:before="30" w:line="240" w:lineRule="auto"/>
              <w:jc w:val="right"/>
            </w:pPr>
          </w:p>
        </w:tc>
        <w:tc>
          <w:tcPr>
            <w:tcW w:type="dxa" w:w="1814"/>
            <w:shd w:val="clear" w:color="auto" w:fill="F6F6F4"/>
            <w:vAlign w:val="center"/>
          </w:tcPr>
          <w:p>
            <w:pPr>
              <w:spacing w:after="30" w:before="30" w:line="240" w:lineRule="auto"/>
              <w:jc w:val="right"/>
            </w:pPr>
          </w:p>
        </w:tc>
      </w:tr>
      <w:tr>
        <w:trPr>
          <w:cantSplit/>
        </w:trPr>
        <w:tc>
          <w:tcPr>
            <w:tcW w:type="dxa" w:w="3742"/>
            <w:vAlign w:val="center"/>
          </w:tcPr>
          <w:p>
            <w:pPr>
              <w:spacing w:after="30" w:before="30" w:line="240" w:lineRule="auto"/>
              <w:jc w:val="left"/>
            </w:pPr>
            <w:r>
              <w:rPr>
                <w:sz w:val="19"/>
              </w:rPr>
              <w:t>Cost [M€ per year]</w:t>
            </w:r>
          </w:p>
        </w:tc>
        <w:tc>
          <w:tcPr>
            <w:tcW w:type="dxa" w:w="1247"/>
            <w:vAlign w:val="center"/>
          </w:tcPr>
          <w:p>
            <w:pPr>
              <w:spacing w:after="30" w:before="30" w:line="240" w:lineRule="auto"/>
              <w:jc w:val="right"/>
            </w:pPr>
            <w:r>
              <w:rPr>
                <w:sz w:val="19"/>
              </w:rPr>
              <w:t>13.4</w:t>
            </w:r>
          </w:p>
        </w:tc>
        <w:tc>
          <w:tcPr>
            <w:tcW w:type="dxa" w:w="1474"/>
            <w:vAlign w:val="center"/>
          </w:tcPr>
          <w:p>
            <w:pPr>
              <w:spacing w:after="30" w:before="30" w:line="240" w:lineRule="auto"/>
              <w:jc w:val="right"/>
            </w:pPr>
            <w:r>
              <w:rPr>
                <w:sz w:val="19"/>
              </w:rPr>
              <w:t>25.0</w:t>
            </w:r>
          </w:p>
        </w:tc>
        <w:tc>
          <w:tcPr>
            <w:tcW w:type="dxa" w:w="1361"/>
            <w:vAlign w:val="center"/>
          </w:tcPr>
          <w:p>
            <w:pPr>
              <w:spacing w:after="30" w:before="30" w:line="240" w:lineRule="auto"/>
              <w:jc w:val="right"/>
            </w:pPr>
            <w:r>
              <w:rPr>
                <w:sz w:val="19"/>
              </w:rPr>
              <w:t>25.7</w:t>
            </w:r>
          </w:p>
        </w:tc>
        <w:tc>
          <w:tcPr>
            <w:tcW w:type="dxa" w:w="1814"/>
            <w:vAlign w:val="center"/>
          </w:tcPr>
          <w:p>
            <w:pPr>
              <w:spacing w:after="30" w:before="30" w:line="240" w:lineRule="auto"/>
              <w:jc w:val="right"/>
            </w:pPr>
            <w:r>
              <w:rPr>
                <w:sz w:val="19"/>
              </w:rPr>
              <w:t>35.8</w:t>
            </w:r>
          </w:p>
        </w:tc>
      </w:tr>
      <w:tr>
        <w:trPr>
          <w:cantSplit/>
        </w:trPr>
        <w:tc>
          <w:tcPr>
            <w:tcW w:type="dxa" w:w="3742"/>
            <w:vAlign w:val="center"/>
          </w:tcPr>
          <w:p>
            <w:pPr>
              <w:spacing w:after="30" w:before="30" w:line="240" w:lineRule="auto"/>
              <w:jc w:val="left"/>
            </w:pPr>
            <w:r>
              <w:rPr>
                <w:sz w:val="19"/>
              </w:rPr>
              <w:t>Plastic removal [t per year]</w:t>
            </w:r>
          </w:p>
        </w:tc>
        <w:tc>
          <w:tcPr>
            <w:tcW w:type="dxa" w:w="1247"/>
            <w:vAlign w:val="center"/>
          </w:tcPr>
          <w:p>
            <w:pPr>
              <w:spacing w:after="30" w:before="30" w:line="240" w:lineRule="auto"/>
              <w:jc w:val="right"/>
            </w:pPr>
            <w:r>
              <w:rPr>
                <w:sz w:val="19"/>
              </w:rPr>
              <w:t>863</w:t>
            </w:r>
          </w:p>
        </w:tc>
        <w:tc>
          <w:tcPr>
            <w:tcW w:type="dxa" w:w="1474"/>
            <w:vAlign w:val="center"/>
          </w:tcPr>
          <w:p>
            <w:pPr>
              <w:spacing w:after="30" w:before="30" w:line="240" w:lineRule="auto"/>
              <w:jc w:val="right"/>
            </w:pPr>
            <w:r>
              <w:rPr>
                <w:sz w:val="19"/>
              </w:rPr>
              <w:t>1,774</w:t>
            </w:r>
          </w:p>
        </w:tc>
        <w:tc>
          <w:tcPr>
            <w:tcW w:type="dxa" w:w="1361"/>
            <w:vAlign w:val="center"/>
          </w:tcPr>
          <w:p>
            <w:pPr>
              <w:spacing w:after="30" w:before="30" w:line="240" w:lineRule="auto"/>
              <w:jc w:val="right"/>
            </w:pPr>
            <w:r>
              <w:rPr>
                <w:sz w:val="19"/>
              </w:rPr>
              <w:t>1,825</w:t>
            </w:r>
          </w:p>
        </w:tc>
        <w:tc>
          <w:tcPr>
            <w:tcW w:type="dxa" w:w="1814"/>
            <w:vAlign w:val="center"/>
          </w:tcPr>
          <w:p>
            <w:pPr>
              <w:spacing w:after="30" w:before="30" w:line="240" w:lineRule="auto"/>
              <w:jc w:val="right"/>
            </w:pPr>
            <w:r>
              <w:rPr>
                <w:sz w:val="19"/>
              </w:rPr>
              <w:t>1,268</w:t>
            </w:r>
          </w:p>
        </w:tc>
      </w:tr>
      <w:tr>
        <w:trPr>
          <w:cantSplit/>
        </w:trPr>
        <w:tc>
          <w:tcPr>
            <w:tcW w:type="dxa" w:w="3742"/>
            <w:vAlign w:val="center"/>
          </w:tcPr>
          <w:p>
            <w:pPr>
              <w:spacing w:after="30" w:before="30" w:line="240" w:lineRule="auto"/>
              <w:jc w:val="left"/>
            </w:pPr>
            <w:r>
              <w:rPr>
                <w:sz w:val="19"/>
              </w:rPr>
              <w:t>Sea area closed to fishing [km²]</w:t>
            </w:r>
          </w:p>
        </w:tc>
        <w:tc>
          <w:tcPr>
            <w:tcW w:type="dxa" w:w="1247"/>
            <w:vAlign w:val="center"/>
          </w:tcPr>
          <w:p>
            <w:pPr>
              <w:spacing w:after="30" w:before="30" w:line="240" w:lineRule="auto"/>
              <w:jc w:val="right"/>
            </w:pPr>
            <w:r>
              <w:rPr>
                <w:sz w:val="19"/>
              </w:rPr>
              <w:t>4.5</w:t>
            </w:r>
          </w:p>
        </w:tc>
        <w:tc>
          <w:tcPr>
            <w:tcW w:type="dxa" w:w="1474"/>
            <w:vAlign w:val="center"/>
          </w:tcPr>
          <w:p>
            <w:pPr>
              <w:spacing w:after="30" w:before="30" w:line="240" w:lineRule="auto"/>
              <w:jc w:val="right"/>
            </w:pPr>
            <w:r>
              <w:rPr>
                <w:sz w:val="19"/>
              </w:rPr>
              <w:t>9.1</w:t>
            </w:r>
          </w:p>
        </w:tc>
        <w:tc>
          <w:tcPr>
            <w:tcW w:type="dxa" w:w="1361"/>
            <w:vAlign w:val="center"/>
          </w:tcPr>
          <w:p>
            <w:pPr>
              <w:spacing w:after="30" w:before="30" w:line="240" w:lineRule="auto"/>
              <w:jc w:val="right"/>
            </w:pPr>
            <w:r>
              <w:rPr>
                <w:sz w:val="19"/>
              </w:rPr>
              <w:t>9.2</w:t>
            </w:r>
          </w:p>
        </w:tc>
        <w:tc>
          <w:tcPr>
            <w:tcW w:type="dxa" w:w="1814"/>
            <w:vAlign w:val="center"/>
          </w:tcPr>
          <w:p>
            <w:pPr>
              <w:spacing w:after="30" w:before="30" w:line="240" w:lineRule="auto"/>
              <w:jc w:val="right"/>
            </w:pPr>
            <w:r>
              <w:rPr>
                <w:sz w:val="19"/>
              </w:rPr>
              <w:t>13.7</w:t>
            </w:r>
          </w:p>
        </w:tc>
      </w:tr>
      <w:tr>
        <w:trPr>
          <w:cantSplit/>
        </w:trPr>
        <w:tc>
          <w:tcPr>
            <w:tcW w:type="dxa" w:w="3742"/>
            <w:vAlign w:val="center"/>
          </w:tcPr>
          <w:p>
            <w:pPr>
              <w:spacing w:after="30" w:before="30" w:line="240" w:lineRule="auto"/>
              <w:jc w:val="left"/>
            </w:pPr>
            <w:r>
              <w:rPr>
                <w:sz w:val="19"/>
              </w:rPr>
              <w:t>Bycatch [animals per year]</w:t>
            </w:r>
          </w:p>
        </w:tc>
        <w:tc>
          <w:tcPr>
            <w:tcW w:type="dxa" w:w="1247"/>
            <w:vAlign w:val="center"/>
          </w:tcPr>
          <w:p>
            <w:pPr>
              <w:spacing w:after="30" w:before="30" w:line="240" w:lineRule="auto"/>
              <w:jc w:val="right"/>
            </w:pPr>
            <w:r>
              <w:rPr>
                <w:sz w:val="19"/>
              </w:rPr>
              <w:t>50,600</w:t>
            </w:r>
          </w:p>
        </w:tc>
        <w:tc>
          <w:tcPr>
            <w:tcW w:type="dxa" w:w="1474"/>
            <w:vAlign w:val="center"/>
          </w:tcPr>
          <w:p>
            <w:pPr>
              <w:spacing w:after="30" w:before="30" w:line="240" w:lineRule="auto"/>
              <w:jc w:val="right"/>
            </w:pPr>
            <w:r>
              <w:rPr>
                <w:sz w:val="19"/>
              </w:rPr>
              <w:t>116,000</w:t>
            </w:r>
          </w:p>
        </w:tc>
        <w:tc>
          <w:tcPr>
            <w:tcW w:type="dxa" w:w="1361"/>
            <w:vAlign w:val="center"/>
          </w:tcPr>
          <w:p>
            <w:pPr>
              <w:spacing w:after="30" w:before="30" w:line="240" w:lineRule="auto"/>
              <w:jc w:val="right"/>
            </w:pPr>
            <w:r>
              <w:rPr>
                <w:sz w:val="19"/>
              </w:rPr>
              <w:t>99,700</w:t>
            </w:r>
          </w:p>
        </w:tc>
        <w:tc>
          <w:tcPr>
            <w:tcW w:type="dxa" w:w="1814"/>
            <w:vAlign w:val="center"/>
          </w:tcPr>
          <w:p>
            <w:pPr>
              <w:spacing w:after="30" w:before="30" w:line="240" w:lineRule="auto"/>
              <w:jc w:val="right"/>
            </w:pPr>
            <w:r>
              <w:rPr>
                <w:sz w:val="19"/>
              </w:rPr>
              <w:t>27,500</w:t>
            </w:r>
          </w:p>
        </w:tc>
      </w:tr>
      <w:tr>
        <w:trPr>
          <w:cantSplit/>
        </w:trPr>
        <w:tc>
          <w:tcPr>
            <w:tcW w:type="dxa" w:w="3742"/>
            <w:vAlign w:val="center"/>
          </w:tcPr>
          <w:p>
            <w:pPr>
              <w:spacing w:after="30" w:before="30" w:line="240" w:lineRule="auto"/>
              <w:jc w:val="left"/>
            </w:pPr>
            <w:r>
              <w:rPr>
                <w:sz w:val="19"/>
              </w:rPr>
              <w:t>Net microplastic formation [t per year]</w:t>
            </w:r>
          </w:p>
        </w:tc>
        <w:tc>
          <w:tcPr>
            <w:tcW w:type="dxa" w:w="1247"/>
            <w:vAlign w:val="center"/>
          </w:tcPr>
          <w:p>
            <w:pPr>
              <w:spacing w:after="30" w:before="30" w:line="240" w:lineRule="auto"/>
              <w:jc w:val="right"/>
            </w:pPr>
            <w:r>
              <w:rPr>
                <w:sz w:val="19"/>
              </w:rPr>
              <w:t>−25</w:t>
            </w:r>
          </w:p>
        </w:tc>
        <w:tc>
          <w:tcPr>
            <w:tcW w:type="dxa" w:w="1474"/>
            <w:vAlign w:val="center"/>
          </w:tcPr>
          <w:p>
            <w:pPr>
              <w:spacing w:after="30" w:before="30" w:line="240" w:lineRule="auto"/>
              <w:jc w:val="right"/>
            </w:pPr>
            <w:r>
              <w:rPr>
                <w:sz w:val="19"/>
              </w:rPr>
              <w:t>−52</w:t>
            </w:r>
          </w:p>
        </w:tc>
        <w:tc>
          <w:tcPr>
            <w:tcW w:type="dxa" w:w="1361"/>
            <w:vAlign w:val="center"/>
          </w:tcPr>
          <w:p>
            <w:pPr>
              <w:spacing w:after="30" w:before="30" w:line="240" w:lineRule="auto"/>
              <w:jc w:val="right"/>
            </w:pPr>
            <w:r>
              <w:rPr>
                <w:sz w:val="19"/>
              </w:rPr>
              <w:t>−54</w:t>
            </w:r>
          </w:p>
        </w:tc>
        <w:tc>
          <w:tcPr>
            <w:tcW w:type="dxa" w:w="1814"/>
            <w:vAlign w:val="center"/>
          </w:tcPr>
          <w:p>
            <w:pPr>
              <w:spacing w:after="30" w:before="30" w:line="240" w:lineRule="auto"/>
              <w:jc w:val="right"/>
            </w:pPr>
            <w:r>
              <w:rPr>
                <w:sz w:val="19"/>
              </w:rPr>
              <w:t>−38</w:t>
            </w:r>
          </w:p>
        </w:tc>
      </w:tr>
      <w:tr>
        <w:trPr>
          <w:cantSplit/>
        </w:trPr>
        <w:tc>
          <w:tcPr>
            <w:tcW w:type="dxa" w:w="3742"/>
            <w:shd w:val="clear" w:color="auto" w:fill="F6F6F4"/>
            <w:vAlign w:val="center"/>
          </w:tcPr>
          <w:p>
            <w:pPr>
              <w:spacing w:after="30" w:before="30" w:line="240" w:lineRule="auto"/>
              <w:jc w:val="left"/>
            </w:pPr>
            <w:r>
              <w:rPr>
                <w:b/>
                <w:color w:val="123B5D"/>
                <w:sz w:val="19"/>
              </w:rPr>
              <w:t>Efficiency and limits</w:t>
            </w:r>
          </w:p>
        </w:tc>
        <w:tc>
          <w:tcPr>
            <w:tcW w:type="dxa" w:w="1247"/>
            <w:shd w:val="clear" w:color="auto" w:fill="F6F6F4"/>
            <w:vAlign w:val="center"/>
          </w:tcPr>
          <w:p>
            <w:pPr>
              <w:spacing w:after="30" w:before="30" w:line="240" w:lineRule="auto"/>
              <w:jc w:val="right"/>
            </w:pPr>
          </w:p>
        </w:tc>
        <w:tc>
          <w:tcPr>
            <w:tcW w:type="dxa" w:w="1474"/>
            <w:shd w:val="clear" w:color="auto" w:fill="F6F6F4"/>
            <w:vAlign w:val="center"/>
          </w:tcPr>
          <w:p>
            <w:pPr>
              <w:spacing w:after="30" w:before="30" w:line="240" w:lineRule="auto"/>
              <w:jc w:val="right"/>
            </w:pPr>
          </w:p>
        </w:tc>
        <w:tc>
          <w:tcPr>
            <w:tcW w:type="dxa" w:w="1361"/>
            <w:shd w:val="clear" w:color="auto" w:fill="F6F6F4"/>
            <w:vAlign w:val="center"/>
          </w:tcPr>
          <w:p>
            <w:pPr>
              <w:spacing w:after="30" w:before="30" w:line="240" w:lineRule="auto"/>
              <w:jc w:val="right"/>
            </w:pPr>
          </w:p>
        </w:tc>
        <w:tc>
          <w:tcPr>
            <w:tcW w:type="dxa" w:w="1814"/>
            <w:shd w:val="clear" w:color="auto" w:fill="F6F6F4"/>
            <w:vAlign w:val="center"/>
          </w:tcPr>
          <w:p>
            <w:pPr>
              <w:spacing w:after="30" w:before="30" w:line="240" w:lineRule="auto"/>
              <w:jc w:val="right"/>
            </w:pPr>
          </w:p>
        </w:tc>
      </w:tr>
      <w:tr>
        <w:trPr>
          <w:cantSplit/>
        </w:trPr>
        <w:tc>
          <w:tcPr>
            <w:tcW w:type="dxa" w:w="3742"/>
            <w:vAlign w:val="center"/>
          </w:tcPr>
          <w:p>
            <w:pPr>
              <w:spacing w:after="30" w:before="30" w:line="240" w:lineRule="auto"/>
              <w:jc w:val="left"/>
            </w:pPr>
            <w:r>
              <w:rPr>
                <w:sz w:val="19"/>
              </w:rPr>
              <w:t>Cost per tonne of plastic [k€]</w:t>
            </w:r>
          </w:p>
        </w:tc>
        <w:tc>
          <w:tcPr>
            <w:tcW w:type="dxa" w:w="1247"/>
            <w:vAlign w:val="center"/>
          </w:tcPr>
          <w:p>
            <w:pPr>
              <w:spacing w:after="30" w:before="30" w:line="240" w:lineRule="auto"/>
              <w:jc w:val="right"/>
            </w:pPr>
            <w:r>
              <w:rPr>
                <w:sz w:val="19"/>
              </w:rPr>
              <w:t>15.6</w:t>
            </w:r>
          </w:p>
        </w:tc>
        <w:tc>
          <w:tcPr>
            <w:tcW w:type="dxa" w:w="1474"/>
            <w:vAlign w:val="center"/>
          </w:tcPr>
          <w:p>
            <w:pPr>
              <w:spacing w:after="30" w:before="30" w:line="240" w:lineRule="auto"/>
              <w:jc w:val="right"/>
            </w:pPr>
            <w:r>
              <w:rPr>
                <w:sz w:val="19"/>
              </w:rPr>
              <w:t>14.1</w:t>
            </w:r>
          </w:p>
        </w:tc>
        <w:tc>
          <w:tcPr>
            <w:tcW w:type="dxa" w:w="1361"/>
            <w:vAlign w:val="center"/>
          </w:tcPr>
          <w:p>
            <w:pPr>
              <w:spacing w:after="30" w:before="30" w:line="240" w:lineRule="auto"/>
              <w:jc w:val="right"/>
            </w:pPr>
            <w:r>
              <w:rPr>
                <w:sz w:val="19"/>
              </w:rPr>
              <w:t>14.1</w:t>
            </w:r>
          </w:p>
        </w:tc>
        <w:tc>
          <w:tcPr>
            <w:tcW w:type="dxa" w:w="1814"/>
            <w:vAlign w:val="center"/>
          </w:tcPr>
          <w:p>
            <w:pPr>
              <w:spacing w:after="30" w:before="30" w:line="240" w:lineRule="auto"/>
              <w:jc w:val="right"/>
            </w:pPr>
            <w:r>
              <w:rPr>
                <w:sz w:val="19"/>
              </w:rPr>
              <w:t>28.2</w:t>
            </w:r>
          </w:p>
        </w:tc>
      </w:tr>
      <w:tr>
        <w:trPr>
          <w:cantSplit/>
        </w:trPr>
        <w:tc>
          <w:tcPr>
            <w:tcW w:type="dxa" w:w="3742"/>
            <w:vAlign w:val="center"/>
          </w:tcPr>
          <w:p>
            <w:pPr>
              <w:spacing w:after="30" w:before="30" w:line="240" w:lineRule="auto"/>
              <w:jc w:val="left"/>
            </w:pPr>
            <w:r>
              <w:rPr>
                <w:sz w:val="19"/>
              </w:rPr>
              <w:t>Bycatch per tonne of plastic [animals]</w:t>
            </w:r>
          </w:p>
        </w:tc>
        <w:tc>
          <w:tcPr>
            <w:tcW w:type="dxa" w:w="1247"/>
            <w:vAlign w:val="center"/>
          </w:tcPr>
          <w:p>
            <w:pPr>
              <w:spacing w:after="30" w:before="30" w:line="240" w:lineRule="auto"/>
              <w:jc w:val="right"/>
            </w:pPr>
            <w:r>
              <w:rPr>
                <w:sz w:val="19"/>
              </w:rPr>
              <w:t>59</w:t>
            </w:r>
          </w:p>
        </w:tc>
        <w:tc>
          <w:tcPr>
            <w:tcW w:type="dxa" w:w="1474"/>
            <w:vAlign w:val="center"/>
          </w:tcPr>
          <w:p>
            <w:pPr>
              <w:spacing w:after="30" w:before="30" w:line="240" w:lineRule="auto"/>
              <w:jc w:val="right"/>
            </w:pPr>
            <w:r>
              <w:rPr>
                <w:sz w:val="19"/>
              </w:rPr>
              <w:t>65</w:t>
            </w:r>
          </w:p>
        </w:tc>
        <w:tc>
          <w:tcPr>
            <w:tcW w:type="dxa" w:w="1361"/>
            <w:vAlign w:val="center"/>
          </w:tcPr>
          <w:p>
            <w:pPr>
              <w:spacing w:after="30" w:before="30" w:line="240" w:lineRule="auto"/>
              <w:jc w:val="right"/>
            </w:pPr>
            <w:r>
              <w:rPr>
                <w:sz w:val="19"/>
              </w:rPr>
              <w:t>55</w:t>
            </w:r>
          </w:p>
        </w:tc>
        <w:tc>
          <w:tcPr>
            <w:tcW w:type="dxa" w:w="1814"/>
            <w:vAlign w:val="center"/>
          </w:tcPr>
          <w:p>
            <w:pPr>
              <w:spacing w:after="30" w:before="30" w:line="240" w:lineRule="auto"/>
              <w:jc w:val="right"/>
            </w:pPr>
            <w:r>
              <w:rPr>
                <w:sz w:val="19"/>
              </w:rPr>
              <w:t>22</w:t>
            </w:r>
          </w:p>
        </w:tc>
      </w:tr>
      <w:tr>
        <w:trPr>
          <w:cantSplit/>
        </w:trPr>
        <w:tc>
          <w:tcPr>
            <w:tcW w:type="dxa" w:w="3742"/>
            <w:vAlign w:val="center"/>
          </w:tcPr>
          <w:p>
            <w:pPr>
              <w:spacing w:after="30" w:before="30" w:line="240" w:lineRule="auto"/>
              <w:jc w:val="left"/>
            </w:pPr>
            <w:r>
              <w:rPr>
                <w:sz w:val="19"/>
              </w:rPr>
              <w:t>Retention zone filled between extractions [%]</w:t>
            </w:r>
          </w:p>
        </w:tc>
        <w:tc>
          <w:tcPr>
            <w:tcW w:type="dxa" w:w="1247"/>
            <w:vAlign w:val="center"/>
          </w:tcPr>
          <w:p>
            <w:pPr>
              <w:spacing w:after="30" w:before="30" w:line="240" w:lineRule="auto"/>
              <w:jc w:val="right"/>
            </w:pPr>
            <w:r>
              <w:rPr>
                <w:sz w:val="19"/>
              </w:rPr>
              <w:t>95</w:t>
            </w:r>
          </w:p>
        </w:tc>
        <w:tc>
          <w:tcPr>
            <w:tcW w:type="dxa" w:w="1474"/>
            <w:vAlign w:val="center"/>
          </w:tcPr>
          <w:p>
            <w:pPr>
              <w:spacing w:after="30" w:before="30" w:line="240" w:lineRule="auto"/>
              <w:jc w:val="right"/>
            </w:pPr>
            <w:r>
              <w:rPr>
                <w:sz w:val="19"/>
              </w:rPr>
              <w:t>97</w:t>
            </w:r>
          </w:p>
        </w:tc>
        <w:tc>
          <w:tcPr>
            <w:tcW w:type="dxa" w:w="1361"/>
            <w:vAlign w:val="center"/>
          </w:tcPr>
          <w:p>
            <w:pPr>
              <w:spacing w:after="30" w:before="30" w:line="240" w:lineRule="auto"/>
              <w:jc w:val="right"/>
            </w:pPr>
            <w:r>
              <w:rPr>
                <w:sz w:val="19"/>
              </w:rPr>
              <w:t>100</w:t>
            </w:r>
          </w:p>
        </w:tc>
        <w:tc>
          <w:tcPr>
            <w:tcW w:type="dxa" w:w="1814"/>
            <w:vAlign w:val="center"/>
          </w:tcPr>
          <w:p>
            <w:pPr>
              <w:spacing w:after="30" w:before="30" w:line="240" w:lineRule="auto"/>
              <w:jc w:val="right"/>
            </w:pPr>
            <w:r>
              <w:rPr>
                <w:sz w:val="19"/>
              </w:rPr>
              <w:t>46</w:t>
            </w:r>
          </w:p>
        </w:tc>
      </w:tr>
    </w:tbl>
    <w:p>
      <w:pPr>
        <w:spacing w:after="0" w:line="100" w:lineRule="exact"/>
      </w:pPr>
    </w:p>
    <w:p>
      <w:pPr>
        <w:spacing w:after="180"/>
      </w:pPr>
      <w:r>
        <w:rPr>
          <w:i/>
          <w:color w:val="52514E"/>
          <w:sz w:val="18"/>
        </w:rPr>
        <w:t>Table 1. Today’s design and the min-max optimum of each cycle, from the results table at the end of the notebook. Repeated runs give the same number of systems; the other settings shift between runs, most of all in the social cycle (section 3).</w:t>
      </w:r>
    </w:p>
    <w:p>
      <w:pPr>
        <w:keepNext/>
        <w:spacing w:after="40"/>
        <w:jc w:val="center"/>
      </w:pPr>
      <w:r>
        <w:drawing>
          <wp:inline xmlns:a="http://schemas.openxmlformats.org/drawingml/2006/main" xmlns:pic="http://schemas.openxmlformats.org/drawingml/2006/picture">
            <wp:extent cx="5976000" cy="2344431"/>
            <wp:docPr id="1" name="Picture 1"/>
            <wp:cNvGraphicFramePr>
              <a:graphicFrameLocks noChangeAspect="1"/>
            </wp:cNvGraphicFramePr>
            <a:graphic>
              <a:graphicData uri="http://schemas.openxmlformats.org/drawingml/2006/picture">
                <pic:pic>
                  <pic:nvPicPr>
                    <pic:cNvPr id="0" name="winners_losers.png"/>
                    <pic:cNvPicPr/>
                  </pic:nvPicPr>
                  <pic:blipFill>
                    <a:blip r:embed="rId9"/>
                    <a:stretch>
                      <a:fillRect/>
                    </a:stretch>
                  </pic:blipFill>
                  <pic:spPr>
                    <a:xfrm>
                      <a:off x="0" y="0"/>
                      <a:ext cx="5976000" cy="2344431"/>
                    </a:xfrm>
                    <a:prstGeom prst="rect"/>
                  </pic:spPr>
                </pic:pic>
              </a:graphicData>
            </a:graphic>
          </wp:inline>
        </w:drawing>
      </w:r>
    </w:p>
    <w:p>
      <w:pPr>
        <w:spacing w:after="180"/>
      </w:pPr>
      <w:r>
        <w:rPr>
          <w:i/>
          <w:color w:val="52514E"/>
          <w:sz w:val="18"/>
        </w:rPr>
        <w:t>Figure 1. Who wins and who loses when today’s design is replaced by the min-max optimum. Both designs are scored with the preference curves of the cycle shown.</w:t>
      </w:r>
    </w:p>
    <w:p>
      <w:r>
        <w:rPr/>
        <w:t>The plots of the notebook for the three cycles are Figures 2 to 4 in section 5.</w:t>
      </w:r>
    </w:p>
    <w:p>
      <w:pPr>
        <w:pStyle w:val="Heading1"/>
      </w:pPr>
      <w:r>
        <w:t>3. Interpretation</w:t>
      </w:r>
    </w:p>
    <w:p>
      <w:r>
        <w:rPr>
          <w:b/>
        </w:rPr>
        <w:t>Scale is the robust answer.</w:t>
      </w:r>
      <w:r>
        <w:rPr/>
        <w:t xml:space="preserve"> A system collects plastic only while it tows, and its retention zone holds 25 t, the catch of 7 towing days. One system therefore removes at most about 910 t per year, a score of 45 out of 100 for The Ocean Cleanup. A second system is the only way to lift that score, to 61. The donors stop the growth: their curve reaches zero at 60 M€ per year, about four and a half of today’s systems. Simply operating two of today’s systems already gives 78 % of the improvement in the technical cycle and 92 % in the social cycle.</w:t>
      </w:r>
    </w:p>
    <w:p>
      <w:r>
        <w:rPr>
          <w:b/>
        </w:rPr>
        <w:t>The retention zone is the limit that matters.</w:t>
      </w:r>
      <w:r>
        <w:rPr/>
        <w:t xml:space="preserve"> Today’s design fills 95 % of its retention zone between two extractions, and both two-system optima sit at the limit (97 and 100 %). The towing lines and the fuel tanks are used to 55 % at most. Emptying the retention zone more often than once a week, or enlarging it, would raise the ceiling of every system.</w:t>
      </w:r>
    </w:p>
    <w:p>
      <w:r>
        <w:rPr>
          <w:b/>
        </w:rPr>
        <w:t>Influence changes how the fleet is operated, not how big it is.</w:t>
      </w:r>
      <w:r>
        <w:rPr/>
        <w:t xml:space="preserve"> The social cycle keeps two systems. More weight for The Ocean Cleanup cannot buy more plastic, because two systems are already at the retention zone limit (1,774 t against 1,829 t). The stricter curve of the advocates alone would cut the bycatch by 46 % at 14 % less plastic. With both changes the plastic stays and the bycatch falls by 14 %. This last number is not fixed: a repeat run gives another design with 90,100 instead of 99,700 animals at the same min-max score. In the social cycle the score is set by The Ocean Cleanup alone, so min-max does not distinguish between these designs.</w:t>
      </w:r>
    </w:p>
    <w:p>
      <w:r>
        <w:rPr>
          <w:b/>
        </w:rPr>
        <w:t>Environmental priority buys a slow fleet.</w:t>
      </w:r>
      <w:r>
        <w:rPr/>
        <w:t xml:space="preserve"> Three systems at 0.31 m/s remove 47 % more plastic than today with 46 % less bycatch, 22 animals per tonne instead of 59. Animals avoid a slow barrier, and the third system buys back the plastic that each slow system misses. The price is 35.8 M€ per year, or 28.2 k€ per tonne instead of 15.6, and the investors fall to a score of 39.</w:t>
      </w:r>
    </w:p>
    <w:p>
      <w:r>
        <w:rPr>
          <w:b/>
        </w:rPr>
        <w:t>Winners and losers (Figure 1).</w:t>
      </w:r>
      <w:r>
        <w:rPr/>
        <w:t xml:space="preserve"> The investors lose whenever the fleet grows (86 today, then 60, 59 and 39). The Ocean Cleanup and the citizens win, and they move together: the microplastic avoided is 3 % of the plastic removed, so the two objectives depend on each other. The fishers never fall below 77, because a fleet closes only a few km²; in this model they are not a real party to the conflict. The advocates are the surprise. Between the technical and the social cycle their score falls from 60 to 34 although the bycatch falls. The drop comes from their own stricter curve, and with influence-based weights min-max protects the influential stakeholders first.</w:t>
      </w:r>
    </w:p>
    <w:p>
      <w:r>
        <w:rPr>
          <w:b/>
        </w:rPr>
        <w:t>The realised design is close to the compromise on average.</w:t>
      </w:r>
      <w:r>
        <w:rPr/>
        <w:t xml:space="preserve"> Today’s single System 03 has a higher average satisfaction than the min-max optimum in the technical and the social cycle (70 and 67 against 65 and 61). Tetra chooses one system in all three cycles. Its technical-cycle design is today’s system towed wider (1,795 m), slower (0.64 m/s) and with a coarser mesh (19 mm): 6 % more plastic, 24 % less bycatch and 3 % lower cost, so today’s design can be improved at almost no loss to anyone. Min-max asks a different question, namely that no stakeholder is left behind, and it rejects one system because The Ocean Cleanup stays at 44. The Ocean Cleanup’s own roadmap of 10 to 20 systems follows this second logic with a larger budget. In our model doubling the donors’ limits gives four systems.</w:t>
      </w:r>
    </w:p>
    <w:p>
      <w:pPr>
        <w:pStyle w:val="Heading1"/>
      </w:pPr>
      <w:r>
        <w:t>4. How far the conclusions hold</w:t>
      </w:r>
    </w:p>
    <w:p>
      <w:pPr>
        <w:pStyle w:val="ListBullet"/>
        <w:spacing w:after="60"/>
      </w:pPr>
      <w:r>
        <w:rPr>
          <w:b/>
        </w:rPr>
        <w:t>Constraints.</w:t>
      </w:r>
      <w:r>
        <w:rPr/>
        <w:t xml:space="preserve"> The retention zone limit rests on our choice of 7 towing days between two extractions; The Ocean Cleanup extracts every 2.5 to 7 days, and with a shorter interval the limit would not bind. Cable tension and fuel never limit a recorded design.</w:t>
      </w:r>
    </w:p>
    <w:p>
      <w:pPr>
        <w:pStyle w:val="ListBullet"/>
        <w:spacing w:after="60"/>
      </w:pPr>
      <w:r>
        <w:rPr>
          <w:b/>
        </w:rPr>
        <w:t>Bounds.</w:t>
      </w:r>
      <w:r>
        <w:rPr/>
        <w:t xml:space="preserve"> The technical optimum ends at the upper spacing bound and the lower mesh bound, and Tetra’s designs end at the upper bounds of spacing and mesh. The upper bounds of mesh (20 mm) and skirt depth (6 m) are our assumptions. The skirt depth is hardly determined: the recorded min-max designs range from 3.0 to 4.3 m.</w:t>
      </w:r>
    </w:p>
    <w:p>
      <w:pPr>
        <w:pStyle w:val="ListBullet"/>
        <w:spacing w:after="60"/>
      </w:pPr>
      <w:r>
        <w:rPr>
          <w:b/>
        </w:rPr>
        <w:t>Retention.</w:t>
      </w:r>
      <w:r>
        <w:rPr/>
        <w:t xml:space="preserve"> The results above use the target retention: the model retains 71 % of the plastic that today’s design meets, like the smaller System 002. With the 40 % measured for System 03 (Sainte-Rose et al., 2026), today’s design removes 483 t per year at 27.8 k€ per tonne, the retention zone is no longer the limit, and the optima become 2, 3 and 3 systems. Scaling up holds in both cases; the fleet size depends on the retention. Both cases assume year-round operation.</w:t>
      </w:r>
    </w:p>
    <w:p>
      <w:pPr>
        <w:pStyle w:val="ListBullet"/>
        <w:spacing w:after="60"/>
      </w:pPr>
      <w:r>
        <w:rPr>
          <w:b/>
        </w:rPr>
        <w:t>Preferences are our judgement.</w:t>
      </w:r>
      <w:r>
        <w:rPr/>
        <w:t xml:space="preserve"> The curves and both outcomes of the stakeholder game come from our own role play, not from the real stakeholders. The fleet size follows directly from the donors’ cost curve.</w:t>
      </w:r>
    </w:p>
    <w:p>
      <w:pPr>
        <w:pStyle w:val="ListBullet"/>
        <w:spacing w:after="60"/>
      </w:pPr>
      <w:r>
        <w:rPr>
          <w:b/>
        </w:rPr>
        <w:t>Solver.</w:t>
      </w:r>
      <w:r>
        <w:rPr/>
        <w:t xml:space="preserve"> The genetic algorithm is random. Min-max gives the same fleet size in every run, but not the same settings, as the social cycle shows. A-fine ends every run with the convergence warning of the algorithm, because its scores are relative within a generation; it gave one or two systems depending on the run, so we do not use it for conclusions.</w:t>
      </w:r>
    </w:p>
    <w:p>
      <w:pPr>
        <w:pStyle w:val="Heading1"/>
      </w:pPr>
      <w:r>
        <w:t>5. Optimisation plots</w:t>
      </w:r>
    </w:p>
    <w:p>
      <w:r>
        <w:rPr/>
        <w:t>Figures 2 to 4 are the output of the notebook for each cycle: the optimum of each aggregation method on the five preference curves, together with today’s design (red square). Figure 3 is the run stored in the notebook; Figures 2 and 4 are runs of the same notebook with the weights and preference curves of the other two cycles selected.</w:t>
      </w:r>
    </w:p>
    <w:p>
      <w:pPr>
        <w:keepNext/>
        <w:spacing w:after="40"/>
        <w:jc w:val="center"/>
      </w:pPr>
      <w:r>
        <w:drawing>
          <wp:inline xmlns:a="http://schemas.openxmlformats.org/drawingml/2006/main" xmlns:pic="http://schemas.openxmlformats.org/drawingml/2006/picture">
            <wp:extent cx="5040000" cy="3357174"/>
            <wp:docPr id="2" name="Picture 2"/>
            <wp:cNvGraphicFramePr>
              <a:graphicFrameLocks noChangeAspect="1"/>
            </wp:cNvGraphicFramePr>
            <a:graphic>
              <a:graphicData uri="http://schemas.openxmlformats.org/drawingml/2006/picture">
                <pic:pic>
                  <pic:nvPicPr>
                    <pic:cNvPr id="0" name="technical.png"/>
                    <pic:cNvPicPr/>
                  </pic:nvPicPr>
                  <pic:blipFill>
                    <a:blip r:embed="rId10"/>
                    <a:stretch>
                      <a:fillRect/>
                    </a:stretch>
                  </pic:blipFill>
                  <pic:spPr>
                    <a:xfrm>
                      <a:off x="0" y="0"/>
                      <a:ext cx="5040000" cy="3357174"/>
                    </a:xfrm>
                    <a:prstGeom prst="rect"/>
                  </pic:spPr>
                </pic:pic>
              </a:graphicData>
            </a:graphic>
          </wp:inline>
        </w:drawing>
      </w:r>
    </w:p>
    <w:p>
      <w:pPr>
        <w:spacing w:after="180"/>
      </w:pPr>
      <w:r>
        <w:rPr>
          <w:i/>
          <w:color w:val="52514E"/>
          <w:sz w:val="18"/>
        </w:rPr>
        <w:t>Figure 2. Technical cycle (equal weights). Min-max balances four stakeholders at a score of 60 with two systems; Tetra stays with one system close to today’s design.</w:t>
      </w:r>
    </w:p>
    <w:p>
      <w:pPr>
        <w:keepNext/>
        <w:spacing w:after="40"/>
        <w:jc w:val="center"/>
      </w:pPr>
      <w:r>
        <w:drawing>
          <wp:inline xmlns:a="http://schemas.openxmlformats.org/drawingml/2006/main" xmlns:pic="http://schemas.openxmlformats.org/drawingml/2006/picture">
            <wp:extent cx="5040000" cy="3357174"/>
            <wp:docPr id="3" name="Picture 3"/>
            <wp:cNvGraphicFramePr>
              <a:graphicFrameLocks noChangeAspect="1"/>
            </wp:cNvGraphicFramePr>
            <a:graphic>
              <a:graphicData uri="http://schemas.openxmlformats.org/drawingml/2006/picture">
                <pic:pic>
                  <pic:nvPicPr>
                    <pic:cNvPr id="0" name="social.png"/>
                    <pic:cNvPicPr/>
                  </pic:nvPicPr>
                  <pic:blipFill>
                    <a:blip r:embed="rId11"/>
                    <a:stretch>
                      <a:fillRect/>
                    </a:stretch>
                  </pic:blipFill>
                  <pic:spPr>
                    <a:xfrm>
                      <a:off x="0" y="0"/>
                      <a:ext cx="5040000" cy="3357174"/>
                    </a:xfrm>
                    <a:prstGeom prst="rect"/>
                  </pic:spPr>
                </pic:pic>
              </a:graphicData>
            </a:graphic>
          </wp:inline>
        </w:drawing>
      </w:r>
    </w:p>
    <w:p>
      <w:pPr>
        <w:spacing w:after="180"/>
      </w:pPr>
      <w:r>
        <w:rPr>
          <w:i/>
          <w:color w:val="52514E"/>
          <w:sz w:val="18"/>
        </w:rPr>
        <w:t>Figure 3. Social cycle (influence-based weights). Min-max keeps two systems at the retention zone limit; Tetra chooses one slow system.</w:t>
      </w:r>
    </w:p>
    <w:p>
      <w:pPr>
        <w:keepNext/>
        <w:spacing w:after="40"/>
        <w:jc w:val="center"/>
      </w:pPr>
      <w:r>
        <w:drawing>
          <wp:inline xmlns:a="http://schemas.openxmlformats.org/drawingml/2006/main" xmlns:pic="http://schemas.openxmlformats.org/drawingml/2006/picture">
            <wp:extent cx="5040000" cy="3348696"/>
            <wp:docPr id="4" name="Picture 4"/>
            <wp:cNvGraphicFramePr>
              <a:graphicFrameLocks noChangeAspect="1"/>
            </wp:cNvGraphicFramePr>
            <a:graphic>
              <a:graphicData uri="http://schemas.openxmlformats.org/drawingml/2006/picture">
                <pic:pic>
                  <pic:nvPicPr>
                    <pic:cNvPr id="0" name="environment.png"/>
                    <pic:cNvPicPr/>
                  </pic:nvPicPr>
                  <pic:blipFill>
                    <a:blip r:embed="rId12"/>
                    <a:stretch>
                      <a:fillRect/>
                    </a:stretch>
                  </pic:blipFill>
                  <pic:spPr>
                    <a:xfrm>
                      <a:off x="0" y="0"/>
                      <a:ext cx="5040000" cy="3348696"/>
                    </a:xfrm>
                    <a:prstGeom prst="rect"/>
                  </pic:spPr>
                </pic:pic>
              </a:graphicData>
            </a:graphic>
          </wp:inline>
        </w:drawing>
      </w:r>
    </w:p>
    <w:p>
      <w:pPr>
        <w:spacing w:after="180"/>
      </w:pPr>
      <w:r>
        <w:rPr>
          <w:i/>
          <w:color w:val="52514E"/>
          <w:sz w:val="18"/>
        </w:rPr>
        <w:t>Figure 4. Social cycle with environmental priority. The curve of the conservation advocates is the strictest; min-max answers with three slow systems.</w:t>
      </w:r>
    </w:p>
    <w:p>
      <w:pPr>
        <w:spacing w:before="160"/>
      </w:pPr>
      <w:r>
        <w:rPr>
          <w:color w:val="52514E"/>
          <w:sz w:val="17"/>
        </w:rPr>
        <w:t>Sainte-Rose, B., Lebreton, L., Pham, Y., Tjallema, A., &amp; Maes, C. (2026). Modelling the cleanup of the North Pacific Garbage Patch based on 3 years of operational experience. Scientific Reports, 16, 8050.</w:t>
      </w:r>
    </w:p>
    <w:sectPr w:rsidR="00FC693F" w:rsidRPr="0006063C" w:rsidSect="00034616">
      <w:pgSz w:w="11906" w:h="16838"/>
      <w:pgMar w:top="107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Calibri" w:hAnsi="Calibri" w:eastAsia="Calibri" w:cs="Calibri"/>
      <w:b/>
      <w:bCs/>
      <w:color w:val="123B5D"/>
      <w:sz w:val="28"/>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Calibri" w:hAnsi="Calibri" w:eastAsia="Calibri" w:cs="Calibri"/>
      <w:b/>
      <w:bCs/>
      <w:color w:val="123B5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 w:line="240" w:lineRule="auto" w:before="0"/>
      <w:contextualSpacing/>
    </w:pPr>
    <w:rPr>
      <w:rFonts w:ascii="Calibri" w:hAnsi="Calibri" w:eastAsia="Calibri" w:cs="Calibri"/>
      <w:b/>
      <w:color w:val="123B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03: Optimization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