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03: what the optimisation tells us</w:t>
      </w:r>
    </w:p>
    <w:p>
      <w:pPr>
        <w:spacing w:after="160"/>
      </w:pPr>
      <w:r>
        <w:rPr>
          <w:color w:val="52514E"/>
          <w:sz w:val="23"/>
        </w:rPr>
        <w:t>Preference-based design optimisation of The Ocean Cleanup’s System 03. Results and interpretation.</w:t>
      </w:r>
    </w:p>
    <w:tbl>
      <w:tblPr>
        <w:tblW w:type="auto" w:w="0"/>
        <w:jc w:val="center"/>
        <w:tblBorders>
          <w:top w:val="nil" w:sz="4" w:space="0" w:color="C9C8C2"/>
          <w:left w:val="nil" w:sz="4" w:space="0" w:color="C9C8C2"/>
          <w:bottom w:val="nil" w:sz="4" w:space="0" w:color="C9C8C2"/>
          <w:right w:val="nil" w:sz="4" w:space="0" w:color="C9C8C2"/>
          <w:insideH w:val="nil" w:sz="4" w:space="0" w:color="C9C8C2"/>
          <w:insideV w:val="nil" w:sz="4" w:space="0" w:color="C9C8C2"/>
        </w:tblBorders>
        <w:tblLayout w:type="fixed"/>
        <w:tblLook w:firstColumn="1" w:firstRow="1" w:lastColumn="0" w:lastRow="0" w:noHBand="0" w:noVBand="1" w:val="04A0"/>
      </w:tblPr>
      <w:tblGrid>
        <w:gridCol w:w="9638"/>
      </w:tblGrid>
      <w:tr>
        <w:tc>
          <w:tcPr>
            <w:tcW w:type="dxa" w:w="9638"/>
            <w:shd w:val="clear" w:color="auto" w:fill="F1F5F9"/>
            <w:tcMar>
              <w:top w:w="140" w:type="dxa"/>
              <w:left w:w="200" w:type="dxa"/>
              <w:bottom w:w="90" w:type="dxa"/>
              <w:right w:w="200" w:type="dxa"/>
            </w:tcMar>
          </w:tcPr>
          <w:p>
            <w:r>
              <w:rPr>
                <w:b/>
                <w:color w:val="123B5D"/>
                <w:sz w:val="24"/>
              </w:rPr>
              <w:t>In short</w:t>
            </w:r>
          </w:p>
          <w:p>
            <w:pPr>
              <w:pStyle w:val="ListBullet"/>
              <w:spacing w:after="60"/>
            </w:pPr>
            <w:r>
              <w:rPr>
                <w:b/>
              </w:rPr>
              <w:t>Scale up, in every scenario.</w:t>
            </w:r>
            <w:r>
              <w:rPr/>
              <w:t xml:space="preserve"> With min-max aggregation the best design deploys two systems (technical and social cycle) or three (environmental priority), always at the widest vessel spacing allowed. One system removes at most about 1,300 t of plastic per year within the physical limits, which leaves The Ocean Cleanup half satisfied at best.</w:t>
            </w:r>
          </w:p>
          <w:p>
            <w:pPr>
              <w:pStyle w:val="ListBullet"/>
              <w:spacing w:after="60"/>
            </w:pPr>
            <w:r>
              <w:rPr>
                <w:b/>
              </w:rPr>
              <w:t>Who is heard decides how the fleet is towed.</w:t>
            </w:r>
            <w:r>
              <w:rPr/>
              <w:t xml:space="preserve"> The optimum moves from 0.61 m/s with a 10 mm mesh (equal weights) to 0.29 m/s with a 20 mm mesh (environmental priority). Bycatch per tonne of plastic drops from 66 to 21 animals.</w:t>
            </w:r>
          </w:p>
          <w:p>
            <w:pPr>
              <w:pStyle w:val="ListBullet"/>
              <w:spacing w:after="60"/>
            </w:pPr>
            <w:r>
              <w:rPr>
                <w:b/>
              </w:rPr>
              <w:t>Today’s single system is the best compromise on average.</w:t>
            </w:r>
            <w:r>
              <w:rPr/>
              <w:t xml:space="preserve"> In the technical and the social cycle its average satisfaction is higher than that of the min-max optimum, and a-fine and Tetra choose one system in all three cycles. Min-max rejects it because The Ocean Cleanup stays at 44 out of 100.</w:t>
            </w:r>
          </w:p>
          <w:p>
            <w:pPr>
              <w:pStyle w:val="ListBullet"/>
              <w:spacing w:after="60"/>
            </w:pPr>
            <w:r>
              <w:rPr>
                <w:b/>
              </w:rPr>
              <w:t>Fleet size is a funding question.</w:t>
            </w:r>
            <w:r>
              <w:rPr/>
              <w:t xml:space="preserve"> If the donors’ budget limits double, the optimum moves from two to four systems.</w:t>
            </w:r>
          </w:p>
        </w:tc>
      </w:tr>
    </w:tbl>
    <w:p>
      <w:pPr>
        <w:spacing w:after="0" w:line="100" w:lineRule="exact"/>
      </w:pPr>
    </w:p>
    <w:p>
      <w:pPr>
        <w:pStyle w:val="Heading1"/>
      </w:pPr>
      <w:r>
        <w:t>1. The model in brief</w:t>
      </w:r>
    </w:p>
    <w:p>
      <w:r>
        <w:rPr/>
        <w:t>The model describes a fleet of System 03 units with five design variables and scores every design for five stakeholders. Each stakeholder has one objective, a preference curve that turns the objective value into a score from 0 to 100, and a weight. A genetic algorithm searches for the design with the best group preference. Formulas, constants and sources are in OceanCleanup_System03.ipynb and Constants_and_Sources.ipynb.</w:t>
      </w:r>
    </w:p>
    <w:tbl>
      <w:tblPr>
        <w:tblW w:type="auto" w:w="0"/>
        <w:jc w:val="center"/>
        <w:tblBorders>
          <w:top w:val="single" w:sz="4" w:space="0" w:color="C9C8C2"/>
          <w:left w:val="nil" w:sz="4" w:space="0" w:color="C9C8C2"/>
          <w:bottom w:val="single" w:sz="4" w:space="0" w:color="C9C8C2"/>
          <w:right w:val="nil" w:sz="4" w:space="0" w:color="C9C8C2"/>
          <w:insideH w:val="single" w:sz="4" w:space="0" w:color="C9C8C2"/>
          <w:insideV w:val="nil" w:sz="4" w:space="0" w:color="C9C8C2"/>
        </w:tblBorders>
        <w:tblLayout w:type="fixed"/>
        <w:tblLook w:firstColumn="1" w:firstRow="1" w:lastColumn="0" w:lastRow="0" w:noHBand="0" w:noVBand="1" w:val="04A0"/>
      </w:tblPr>
      <w:tblGrid>
        <w:gridCol w:w="2409"/>
        <w:gridCol w:w="2409"/>
        <w:gridCol w:w="2409"/>
        <w:gridCol w:w="2409"/>
      </w:tblGrid>
      <w:tr>
        <w:trPr>
          <w:cantSplit/>
        </w:trPr>
        <w:tc>
          <w:tcPr>
            <w:tcW w:type="dxa" w:w="1871"/>
            <w:shd w:val="clear" w:color="auto" w:fill="E8EEF4"/>
            <w:vAlign w:val="center"/>
          </w:tcPr>
          <w:p>
            <w:pPr>
              <w:spacing w:after="30" w:before="30" w:line="240" w:lineRule="auto"/>
              <w:jc w:val="left"/>
            </w:pPr>
            <w:r>
              <w:rPr>
                <w:b/>
                <w:color w:val="123B5D"/>
                <w:sz w:val="19"/>
              </w:rPr>
              <w:t>Design variable</w:t>
            </w:r>
          </w:p>
        </w:tc>
        <w:tc>
          <w:tcPr>
            <w:tcW w:type="dxa" w:w="1644"/>
            <w:shd w:val="clear" w:color="auto" w:fill="E8EEF4"/>
            <w:vAlign w:val="center"/>
          </w:tcPr>
          <w:p>
            <w:pPr>
              <w:spacing w:after="30" w:before="30" w:line="240" w:lineRule="auto"/>
              <w:jc w:val="left"/>
            </w:pPr>
            <w:r>
              <w:rPr>
                <w:b/>
                <w:color w:val="123B5D"/>
                <w:sz w:val="19"/>
              </w:rPr>
              <w:t>Bounds</w:t>
            </w:r>
          </w:p>
        </w:tc>
        <w:tc>
          <w:tcPr>
            <w:tcW w:type="dxa" w:w="1077"/>
            <w:shd w:val="clear" w:color="auto" w:fill="E8EEF4"/>
            <w:vAlign w:val="center"/>
          </w:tcPr>
          <w:p>
            <w:pPr>
              <w:spacing w:after="30" w:before="30" w:line="240" w:lineRule="auto"/>
              <w:jc w:val="left"/>
            </w:pPr>
            <w:r>
              <w:rPr>
                <w:b/>
                <w:color w:val="123B5D"/>
                <w:sz w:val="19"/>
              </w:rPr>
              <w:t>Today</w:t>
            </w:r>
          </w:p>
        </w:tc>
        <w:tc>
          <w:tcPr>
            <w:tcW w:type="dxa" w:w="5046"/>
            <w:shd w:val="clear" w:color="auto" w:fill="E8EEF4"/>
            <w:vAlign w:val="center"/>
          </w:tcPr>
          <w:p>
            <w:pPr>
              <w:spacing w:after="30" w:before="30" w:line="240" w:lineRule="auto"/>
              <w:jc w:val="left"/>
            </w:pPr>
            <w:r>
              <w:rPr>
                <w:b/>
                <w:color w:val="123B5D"/>
                <w:sz w:val="19"/>
              </w:rPr>
              <w:t>A higher value means</w:t>
            </w:r>
          </w:p>
        </w:tc>
      </w:tr>
      <w:tr>
        <w:trPr>
          <w:cantSplit/>
        </w:trPr>
        <w:tc>
          <w:tcPr>
            <w:tcW w:type="dxa" w:w="1871"/>
            <w:vAlign w:val="center"/>
          </w:tcPr>
          <w:p>
            <w:pPr>
              <w:spacing w:after="30" w:before="30" w:line="240" w:lineRule="auto"/>
              <w:jc w:val="left"/>
            </w:pPr>
            <w:r>
              <w:rPr>
                <w:b/>
                <w:sz w:val="19"/>
              </w:rPr>
              <w:t>Skirt depth</w:t>
            </w:r>
          </w:p>
        </w:tc>
        <w:tc>
          <w:tcPr>
            <w:tcW w:type="dxa" w:w="1644"/>
            <w:vAlign w:val="center"/>
          </w:tcPr>
          <w:p>
            <w:pPr>
              <w:spacing w:after="30" w:before="30" w:line="240" w:lineRule="auto"/>
              <w:jc w:val="left"/>
            </w:pPr>
            <w:r>
              <w:rPr>
                <w:sz w:val="19"/>
              </w:rPr>
              <w:t>3 – 6 m</w:t>
            </w:r>
          </w:p>
        </w:tc>
        <w:tc>
          <w:tcPr>
            <w:tcW w:type="dxa" w:w="1077"/>
            <w:vAlign w:val="center"/>
          </w:tcPr>
          <w:p>
            <w:pPr>
              <w:spacing w:after="30" w:before="30" w:line="240" w:lineRule="auto"/>
              <w:jc w:val="left"/>
            </w:pPr>
            <w:r>
              <w:rPr>
                <w:sz w:val="19"/>
              </w:rPr>
              <w:t>4 m</w:t>
            </w:r>
          </w:p>
        </w:tc>
        <w:tc>
          <w:tcPr>
            <w:tcW w:type="dxa" w:w="5046"/>
            <w:vAlign w:val="center"/>
          </w:tcPr>
          <w:p>
            <w:pPr>
              <w:spacing w:after="30" w:before="30" w:line="240" w:lineRule="auto"/>
              <w:jc w:val="left"/>
            </w:pPr>
            <w:r>
              <w:rPr>
                <w:sz w:val="19"/>
              </w:rPr>
              <w:t>less plastic lost under the skirt; more drag, and fish escape less easily</w:t>
            </w:r>
          </w:p>
        </w:tc>
      </w:tr>
      <w:tr>
        <w:trPr>
          <w:cantSplit/>
        </w:trPr>
        <w:tc>
          <w:tcPr>
            <w:tcW w:type="dxa" w:w="1871"/>
            <w:vAlign w:val="center"/>
          </w:tcPr>
          <w:p>
            <w:pPr>
              <w:spacing w:after="30" w:before="30" w:line="240" w:lineRule="auto"/>
              <w:jc w:val="left"/>
            </w:pPr>
            <w:r>
              <w:rPr>
                <w:b/>
                <w:sz w:val="19"/>
              </w:rPr>
              <w:t>Vessel spacing</w:t>
            </w:r>
          </w:p>
        </w:tc>
        <w:tc>
          <w:tcPr>
            <w:tcW w:type="dxa" w:w="1644"/>
            <w:vAlign w:val="center"/>
          </w:tcPr>
          <w:p>
            <w:pPr>
              <w:spacing w:after="30" w:before="30" w:line="240" w:lineRule="auto"/>
              <w:jc w:val="left"/>
            </w:pPr>
            <w:r>
              <w:rPr>
                <w:sz w:val="19"/>
              </w:rPr>
              <w:t>520 – 1,800 m</w:t>
            </w:r>
          </w:p>
        </w:tc>
        <w:tc>
          <w:tcPr>
            <w:tcW w:type="dxa" w:w="1077"/>
            <w:vAlign w:val="center"/>
          </w:tcPr>
          <w:p>
            <w:pPr>
              <w:spacing w:after="30" w:before="30" w:line="240" w:lineRule="auto"/>
              <w:jc w:val="left"/>
            </w:pPr>
            <w:r>
              <w:rPr>
                <w:sz w:val="19"/>
              </w:rPr>
              <w:t>1,460 m</w:t>
            </w:r>
          </w:p>
        </w:tc>
        <w:tc>
          <w:tcPr>
            <w:tcW w:type="dxa" w:w="5046"/>
            <w:vAlign w:val="center"/>
          </w:tcPr>
          <w:p>
            <w:pPr>
              <w:spacing w:after="30" w:before="30" w:line="240" w:lineRule="auto"/>
              <w:jc w:val="left"/>
            </w:pPr>
            <w:r>
              <w:rPr>
                <w:sz w:val="19"/>
              </w:rPr>
              <w:t>more plastic met; more drag and fuel, more bycatch</w:t>
            </w:r>
          </w:p>
        </w:tc>
      </w:tr>
      <w:tr>
        <w:trPr>
          <w:cantSplit/>
        </w:trPr>
        <w:tc>
          <w:tcPr>
            <w:tcW w:type="dxa" w:w="1871"/>
            <w:vAlign w:val="center"/>
          </w:tcPr>
          <w:p>
            <w:pPr>
              <w:spacing w:after="30" w:before="30" w:line="240" w:lineRule="auto"/>
              <w:jc w:val="left"/>
            </w:pPr>
            <w:r>
              <w:rPr>
                <w:b/>
                <w:sz w:val="19"/>
              </w:rPr>
              <w:t>Number of systems</w:t>
            </w:r>
          </w:p>
        </w:tc>
        <w:tc>
          <w:tcPr>
            <w:tcW w:type="dxa" w:w="1644"/>
            <w:vAlign w:val="center"/>
          </w:tcPr>
          <w:p>
            <w:pPr>
              <w:spacing w:after="30" w:before="30" w:line="240" w:lineRule="auto"/>
              <w:jc w:val="left"/>
            </w:pPr>
            <w:r>
              <w:rPr>
                <w:sz w:val="19"/>
              </w:rPr>
              <w:t>1 – 20</w:t>
            </w:r>
          </w:p>
        </w:tc>
        <w:tc>
          <w:tcPr>
            <w:tcW w:type="dxa" w:w="1077"/>
            <w:vAlign w:val="center"/>
          </w:tcPr>
          <w:p>
            <w:pPr>
              <w:spacing w:after="30" w:before="30" w:line="240" w:lineRule="auto"/>
              <w:jc w:val="left"/>
            </w:pPr>
            <w:r>
              <w:rPr>
                <w:sz w:val="19"/>
              </w:rPr>
              <w:t>1</w:t>
            </w:r>
          </w:p>
        </w:tc>
        <w:tc>
          <w:tcPr>
            <w:tcW w:type="dxa" w:w="5046"/>
            <w:vAlign w:val="center"/>
          </w:tcPr>
          <w:p>
            <w:pPr>
              <w:spacing w:after="30" w:before="30" w:line="240" w:lineRule="auto"/>
              <w:jc w:val="left"/>
            </w:pPr>
            <w:r>
              <w:rPr>
                <w:sz w:val="19"/>
              </w:rPr>
              <w:t>plastic, cost, bycatch and closed sea area all scale with the fleet</w:t>
            </w:r>
          </w:p>
        </w:tc>
      </w:tr>
      <w:tr>
        <w:trPr>
          <w:cantSplit/>
        </w:trPr>
        <w:tc>
          <w:tcPr>
            <w:tcW w:type="dxa" w:w="1871"/>
            <w:vAlign w:val="center"/>
          </w:tcPr>
          <w:p>
            <w:pPr>
              <w:spacing w:after="30" w:before="30" w:line="240" w:lineRule="auto"/>
              <w:jc w:val="left"/>
            </w:pPr>
            <w:r>
              <w:rPr>
                <w:b/>
                <w:sz w:val="19"/>
              </w:rPr>
              <w:t>Towing speed</w:t>
            </w:r>
          </w:p>
        </w:tc>
        <w:tc>
          <w:tcPr>
            <w:tcW w:type="dxa" w:w="1644"/>
            <w:vAlign w:val="center"/>
          </w:tcPr>
          <w:p>
            <w:pPr>
              <w:spacing w:after="30" w:before="30" w:line="240" w:lineRule="auto"/>
              <w:jc w:val="left"/>
            </w:pPr>
            <w:r>
              <w:rPr>
                <w:sz w:val="19"/>
              </w:rPr>
              <w:t>0.26 – 1.29 m/s</w:t>
            </w:r>
          </w:p>
        </w:tc>
        <w:tc>
          <w:tcPr>
            <w:tcW w:type="dxa" w:w="1077"/>
            <w:vAlign w:val="center"/>
          </w:tcPr>
          <w:p>
            <w:pPr>
              <w:spacing w:after="30" w:before="30" w:line="240" w:lineRule="auto"/>
              <w:jc w:val="left"/>
            </w:pPr>
            <w:r>
              <w:rPr>
                <w:sz w:val="19"/>
              </w:rPr>
              <w:t>0.75 m/s</w:t>
            </w:r>
          </w:p>
        </w:tc>
        <w:tc>
          <w:tcPr>
            <w:tcW w:type="dxa" w:w="5046"/>
            <w:vAlign w:val="center"/>
          </w:tcPr>
          <w:p>
            <w:pPr>
              <w:spacing w:after="30" w:before="30" w:line="240" w:lineRule="auto"/>
              <w:jc w:val="left"/>
            </w:pPr>
            <w:r>
              <w:rPr>
                <w:sz w:val="19"/>
              </w:rPr>
              <w:t>more plastic met, but more escapes under the skirt (best near 1.0 m/s); more fuel, and animals avoid the barrier less</w:t>
            </w:r>
          </w:p>
        </w:tc>
      </w:tr>
      <w:tr>
        <w:trPr>
          <w:cantSplit/>
        </w:trPr>
        <w:tc>
          <w:tcPr>
            <w:tcW w:type="dxa" w:w="1871"/>
            <w:vAlign w:val="center"/>
          </w:tcPr>
          <w:p>
            <w:pPr>
              <w:spacing w:after="30" w:before="30" w:line="240" w:lineRule="auto"/>
              <w:jc w:val="left"/>
            </w:pPr>
            <w:r>
              <w:rPr>
                <w:b/>
                <w:sz w:val="19"/>
              </w:rPr>
              <w:t>Mesh size</w:t>
            </w:r>
          </w:p>
        </w:tc>
        <w:tc>
          <w:tcPr>
            <w:tcW w:type="dxa" w:w="1644"/>
            <w:vAlign w:val="center"/>
          </w:tcPr>
          <w:p>
            <w:pPr>
              <w:spacing w:after="30" w:before="30" w:line="240" w:lineRule="auto"/>
              <w:jc w:val="left"/>
            </w:pPr>
            <w:r>
              <w:rPr>
                <w:sz w:val="19"/>
              </w:rPr>
              <w:t>10 – 20 mm</w:t>
            </w:r>
          </w:p>
        </w:tc>
        <w:tc>
          <w:tcPr>
            <w:tcW w:type="dxa" w:w="1077"/>
            <w:vAlign w:val="center"/>
          </w:tcPr>
          <w:p>
            <w:pPr>
              <w:spacing w:after="30" w:before="30" w:line="240" w:lineRule="auto"/>
              <w:jc w:val="left"/>
            </w:pPr>
            <w:r>
              <w:rPr>
                <w:sz w:val="19"/>
              </w:rPr>
              <w:t>16 mm</w:t>
            </w:r>
          </w:p>
        </w:tc>
        <w:tc>
          <w:tcPr>
            <w:tcW w:type="dxa" w:w="5046"/>
            <w:vAlign w:val="center"/>
          </w:tcPr>
          <w:p>
            <w:pPr>
              <w:spacing w:after="30" w:before="30" w:line="240" w:lineRule="auto"/>
              <w:jc w:val="left"/>
            </w:pPr>
            <w:r>
              <w:rPr>
                <w:sz w:val="19"/>
              </w:rPr>
              <w:t>fewer small fish retained; slightly less plastic retained</w:t>
            </w:r>
          </w:p>
        </w:tc>
      </w:tr>
    </w:tbl>
    <w:p>
      <w:pPr>
        <w:spacing w:after="0" w:line="100" w:lineRule="exact"/>
      </w:pPr>
    </w:p>
    <w:tbl>
      <w:tblPr>
        <w:tblW w:type="auto" w:w="0"/>
        <w:jc w:val="center"/>
        <w:tblBorders>
          <w:top w:val="single" w:sz="4" w:space="0" w:color="C9C8C2"/>
          <w:left w:val="nil" w:sz="4" w:space="0" w:color="C9C8C2"/>
          <w:bottom w:val="single" w:sz="4" w:space="0" w:color="C9C8C2"/>
          <w:right w:val="nil" w:sz="4" w:space="0" w:color="C9C8C2"/>
          <w:insideH w:val="single" w:sz="4" w:space="0" w:color="C9C8C2"/>
          <w:insideV w:val="nil" w:sz="4" w:space="0" w:color="C9C8C2"/>
        </w:tblBorders>
        <w:tblLayout w:type="fixed"/>
        <w:tblLook w:firstColumn="1" w:firstRow="1" w:lastColumn="0" w:lastRow="0" w:noHBand="0" w:noVBand="1" w:val="04A0"/>
      </w:tblPr>
      <w:tblGrid>
        <w:gridCol w:w="2409"/>
        <w:gridCol w:w="2409"/>
        <w:gridCol w:w="2409"/>
        <w:gridCol w:w="2409"/>
      </w:tblGrid>
      <w:tr>
        <w:trPr>
          <w:cantSplit/>
        </w:trPr>
        <w:tc>
          <w:tcPr>
            <w:tcW w:type="dxa" w:w="2041"/>
            <w:shd w:val="clear" w:color="auto" w:fill="E8EEF4"/>
            <w:vAlign w:val="center"/>
          </w:tcPr>
          <w:p>
            <w:pPr>
              <w:spacing w:after="30" w:before="30" w:line="240" w:lineRule="auto"/>
              <w:jc w:val="left"/>
            </w:pPr>
            <w:r>
              <w:rPr>
                <w:b/>
                <w:color w:val="123B5D"/>
                <w:sz w:val="19"/>
              </w:rPr>
              <w:t>Stakeholder</w:t>
            </w:r>
          </w:p>
        </w:tc>
        <w:tc>
          <w:tcPr>
            <w:tcW w:type="dxa" w:w="2268"/>
            <w:shd w:val="clear" w:color="auto" w:fill="E8EEF4"/>
            <w:vAlign w:val="center"/>
          </w:tcPr>
          <w:p>
            <w:pPr>
              <w:spacing w:after="30" w:before="30" w:line="240" w:lineRule="auto"/>
              <w:jc w:val="left"/>
            </w:pPr>
            <w:r>
              <w:rPr>
                <w:b/>
                <w:color w:val="123B5D"/>
                <w:sz w:val="19"/>
              </w:rPr>
              <w:t>Objective</w:t>
            </w:r>
          </w:p>
        </w:tc>
        <w:tc>
          <w:tcPr>
            <w:tcW w:type="dxa" w:w="3572"/>
            <w:shd w:val="clear" w:color="auto" w:fill="E8EEF4"/>
            <w:vAlign w:val="center"/>
          </w:tcPr>
          <w:p>
            <w:pPr>
              <w:spacing w:after="30" w:before="30" w:line="240" w:lineRule="auto"/>
              <w:jc w:val="left"/>
            </w:pPr>
            <w:r>
              <w:rPr>
                <w:b/>
                <w:color w:val="123B5D"/>
                <w:sz w:val="19"/>
              </w:rPr>
              <w:t>Preference curve: ideal / halfway / unacceptable</w:t>
            </w:r>
          </w:p>
        </w:tc>
        <w:tc>
          <w:tcPr>
            <w:tcW w:type="dxa" w:w="1757"/>
            <w:shd w:val="clear" w:color="auto" w:fill="E8EEF4"/>
            <w:vAlign w:val="center"/>
          </w:tcPr>
          <w:p>
            <w:pPr>
              <w:spacing w:after="30" w:before="30" w:line="240" w:lineRule="auto"/>
              <w:jc w:val="left"/>
            </w:pPr>
            <w:r>
              <w:rPr>
                <w:b/>
                <w:color w:val="123B5D"/>
                <w:sz w:val="19"/>
              </w:rPr>
              <w:t>Weight T · S · E</w:t>
            </w:r>
          </w:p>
        </w:tc>
      </w:tr>
      <w:tr>
        <w:trPr>
          <w:cantSplit/>
        </w:trPr>
        <w:tc>
          <w:tcPr>
            <w:tcW w:type="dxa" w:w="2041"/>
            <w:vAlign w:val="center"/>
          </w:tcPr>
          <w:p>
            <w:pPr>
              <w:spacing w:after="30" w:before="30" w:line="240" w:lineRule="auto"/>
              <w:jc w:val="left"/>
            </w:pPr>
            <w:r>
              <w:rPr>
                <w:b/>
                <w:sz w:val="19"/>
              </w:rPr>
              <w:t>Investors / donors</w:t>
            </w:r>
          </w:p>
        </w:tc>
        <w:tc>
          <w:tcPr>
            <w:tcW w:type="dxa" w:w="2268"/>
            <w:vAlign w:val="center"/>
          </w:tcPr>
          <w:p>
            <w:pPr>
              <w:spacing w:after="30" w:before="30" w:line="240" w:lineRule="auto"/>
              <w:jc w:val="left"/>
            </w:pPr>
            <w:r>
              <w:rPr>
                <w:sz w:val="19"/>
              </w:rPr>
              <w:t>Annual cost (low)</w:t>
            </w:r>
          </w:p>
        </w:tc>
        <w:tc>
          <w:tcPr>
            <w:tcW w:type="dxa" w:w="3572"/>
            <w:vAlign w:val="center"/>
          </w:tcPr>
          <w:p>
            <w:pPr>
              <w:spacing w:after="30" w:before="30" w:line="240" w:lineRule="auto"/>
              <w:jc w:val="left"/>
            </w:pPr>
            <w:r>
              <w:rPr>
                <w:sz w:val="19"/>
              </w:rPr>
              <w:t>7.5 / 30 / 60 M€ per year</w:t>
            </w:r>
          </w:p>
        </w:tc>
        <w:tc>
          <w:tcPr>
            <w:tcW w:type="dxa" w:w="1757"/>
            <w:vAlign w:val="center"/>
          </w:tcPr>
          <w:p>
            <w:pPr>
              <w:spacing w:after="30" w:before="30" w:line="240" w:lineRule="auto"/>
              <w:jc w:val="left"/>
            </w:pPr>
            <w:r>
              <w:rPr>
                <w:sz w:val="19"/>
              </w:rPr>
              <w:t>0.20 · 0.225 · 0.15</w:t>
            </w:r>
          </w:p>
        </w:tc>
      </w:tr>
      <w:tr>
        <w:trPr>
          <w:cantSplit/>
        </w:trPr>
        <w:tc>
          <w:tcPr>
            <w:tcW w:type="dxa" w:w="2041"/>
            <w:vAlign w:val="center"/>
          </w:tcPr>
          <w:p>
            <w:pPr>
              <w:spacing w:after="30" w:before="30" w:line="240" w:lineRule="auto"/>
              <w:jc w:val="left"/>
            </w:pPr>
            <w:r>
              <w:rPr>
                <w:b/>
                <w:sz w:val="19"/>
              </w:rPr>
              <w:t>The Ocean Cleanup</w:t>
            </w:r>
          </w:p>
        </w:tc>
        <w:tc>
          <w:tcPr>
            <w:tcW w:type="dxa" w:w="2268"/>
            <w:vAlign w:val="center"/>
          </w:tcPr>
          <w:p>
            <w:pPr>
              <w:spacing w:after="30" w:before="30" w:line="240" w:lineRule="auto"/>
              <w:jc w:val="left"/>
            </w:pPr>
            <w:r>
              <w:rPr>
                <w:sz w:val="19"/>
              </w:rPr>
              <w:t>Plastic removal (high)</w:t>
            </w:r>
          </w:p>
        </w:tc>
        <w:tc>
          <w:tcPr>
            <w:tcW w:type="dxa" w:w="3572"/>
            <w:vAlign w:val="center"/>
          </w:tcPr>
          <w:p>
            <w:pPr>
              <w:spacing w:after="30" w:before="30" w:line="240" w:lineRule="auto"/>
              <w:jc w:val="left"/>
            </w:pPr>
            <w:r>
              <w:rPr>
                <w:sz w:val="19"/>
              </w:rPr>
              <w:t>7,200 / 1,100 / 0 t per year</w:t>
            </w:r>
          </w:p>
        </w:tc>
        <w:tc>
          <w:tcPr>
            <w:tcW w:type="dxa" w:w="1757"/>
            <w:vAlign w:val="center"/>
          </w:tcPr>
          <w:p>
            <w:pPr>
              <w:spacing w:after="30" w:before="30" w:line="240" w:lineRule="auto"/>
              <w:jc w:val="left"/>
            </w:pPr>
            <w:r>
              <w:rPr>
                <w:sz w:val="19"/>
              </w:rPr>
              <w:t>0.20 · 0.30 · 0.20</w:t>
            </w:r>
          </w:p>
        </w:tc>
      </w:tr>
      <w:tr>
        <w:trPr>
          <w:cantSplit/>
        </w:trPr>
        <w:tc>
          <w:tcPr>
            <w:tcW w:type="dxa" w:w="2041"/>
            <w:vAlign w:val="center"/>
          </w:tcPr>
          <w:p>
            <w:pPr>
              <w:spacing w:after="30" w:before="30" w:line="240" w:lineRule="auto"/>
              <w:jc w:val="left"/>
            </w:pPr>
            <w:r>
              <w:rPr>
                <w:b/>
                <w:sz w:val="19"/>
              </w:rPr>
              <w:t>Commercial fishers</w:t>
            </w:r>
          </w:p>
        </w:tc>
        <w:tc>
          <w:tcPr>
            <w:tcW w:type="dxa" w:w="2268"/>
            <w:vAlign w:val="center"/>
          </w:tcPr>
          <w:p>
            <w:pPr>
              <w:spacing w:after="30" w:before="30" w:line="240" w:lineRule="auto"/>
              <w:jc w:val="left"/>
            </w:pPr>
            <w:r>
              <w:rPr>
                <w:sz w:val="19"/>
              </w:rPr>
              <w:t>Sea area closed to fishing (low)</w:t>
            </w:r>
          </w:p>
        </w:tc>
        <w:tc>
          <w:tcPr>
            <w:tcW w:type="dxa" w:w="3572"/>
            <w:vAlign w:val="center"/>
          </w:tcPr>
          <w:p>
            <w:pPr>
              <w:spacing w:after="30" w:before="30" w:line="240" w:lineRule="auto"/>
              <w:jc w:val="left"/>
            </w:pPr>
            <w:r>
              <w:rPr>
                <w:sz w:val="19"/>
              </w:rPr>
              <w:t>0 / 25 / 40 km²</w:t>
            </w:r>
          </w:p>
        </w:tc>
        <w:tc>
          <w:tcPr>
            <w:tcW w:type="dxa" w:w="1757"/>
            <w:vAlign w:val="center"/>
          </w:tcPr>
          <w:p>
            <w:pPr>
              <w:spacing w:after="30" w:before="30" w:line="240" w:lineRule="auto"/>
              <w:jc w:val="left"/>
            </w:pPr>
            <w:r>
              <w:rPr>
                <w:sz w:val="19"/>
              </w:rPr>
              <w:t>0.20 · 0.175 · 0.15</w:t>
            </w:r>
          </w:p>
        </w:tc>
      </w:tr>
      <w:tr>
        <w:trPr>
          <w:cantSplit/>
        </w:trPr>
        <w:tc>
          <w:tcPr>
            <w:tcW w:type="dxa" w:w="2041"/>
            <w:vAlign w:val="center"/>
          </w:tcPr>
          <w:p>
            <w:pPr>
              <w:spacing w:after="30" w:before="30" w:line="240" w:lineRule="auto"/>
              <w:jc w:val="left"/>
            </w:pPr>
            <w:r>
              <w:rPr>
                <w:b/>
                <w:sz w:val="19"/>
              </w:rPr>
              <w:t>Conservation advocates</w:t>
            </w:r>
          </w:p>
        </w:tc>
        <w:tc>
          <w:tcPr>
            <w:tcW w:type="dxa" w:w="2268"/>
            <w:vAlign w:val="center"/>
          </w:tcPr>
          <w:p>
            <w:pPr>
              <w:spacing w:after="30" w:before="30" w:line="240" w:lineRule="auto"/>
              <w:jc w:val="left"/>
            </w:pPr>
            <w:r>
              <w:rPr>
                <w:sz w:val="19"/>
              </w:rPr>
              <w:t>Bycatch (low)</w:t>
            </w:r>
          </w:p>
        </w:tc>
        <w:tc>
          <w:tcPr>
            <w:tcW w:type="dxa" w:w="3572"/>
            <w:vAlign w:val="center"/>
          </w:tcPr>
          <w:p>
            <w:pPr>
              <w:spacing w:after="30" w:before="30" w:line="240" w:lineRule="auto"/>
              <w:jc w:val="left"/>
            </w:pPr>
            <w:r>
              <w:rPr>
                <w:sz w:val="19"/>
              </w:rPr>
              <w:t>T: 2,900 / 145,000 / 290,000 animals per year</w:t>
              <w:br/>
              <w:t>S: 2,900 / 72,500 / 174,000</w:t>
              <w:br/>
              <w:t>E: 2,900 / 50,000 / 100,000</w:t>
            </w:r>
          </w:p>
        </w:tc>
        <w:tc>
          <w:tcPr>
            <w:tcW w:type="dxa" w:w="1757"/>
            <w:vAlign w:val="center"/>
          </w:tcPr>
          <w:p>
            <w:pPr>
              <w:spacing w:after="30" w:before="30" w:line="240" w:lineRule="auto"/>
              <w:jc w:val="left"/>
            </w:pPr>
            <w:r>
              <w:rPr>
                <w:sz w:val="19"/>
              </w:rPr>
              <w:t>0.20 · 0.175 · 0.35</w:t>
            </w:r>
          </w:p>
        </w:tc>
      </w:tr>
      <w:tr>
        <w:trPr>
          <w:cantSplit/>
        </w:trPr>
        <w:tc>
          <w:tcPr>
            <w:tcW w:type="dxa" w:w="2041"/>
            <w:vAlign w:val="center"/>
          </w:tcPr>
          <w:p>
            <w:pPr>
              <w:spacing w:after="30" w:before="30" w:line="240" w:lineRule="auto"/>
              <w:jc w:val="left"/>
            </w:pPr>
            <w:r>
              <w:rPr>
                <w:b/>
                <w:sz w:val="19"/>
              </w:rPr>
              <w:t>Citizens</w:t>
            </w:r>
          </w:p>
        </w:tc>
        <w:tc>
          <w:tcPr>
            <w:tcW w:type="dxa" w:w="2268"/>
            <w:vAlign w:val="center"/>
          </w:tcPr>
          <w:p>
            <w:pPr>
              <w:spacing w:after="30" w:before="30" w:line="240" w:lineRule="auto"/>
              <w:jc w:val="left"/>
            </w:pPr>
            <w:r>
              <w:rPr>
                <w:sz w:val="19"/>
              </w:rPr>
              <w:t>Net microplastic formation (low)</w:t>
            </w:r>
          </w:p>
        </w:tc>
        <w:tc>
          <w:tcPr>
            <w:tcW w:type="dxa" w:w="3572"/>
            <w:vAlign w:val="center"/>
          </w:tcPr>
          <w:p>
            <w:pPr>
              <w:spacing w:after="30" w:before="30" w:line="240" w:lineRule="auto"/>
              <w:jc w:val="left"/>
            </w:pPr>
            <w:r>
              <w:rPr>
                <w:sz w:val="19"/>
              </w:rPr>
              <w:t>T: −216 / −33 / 0 t per year</w:t>
              <w:br/>
              <w:t>S and E: −216 / −20 / 0</w:t>
            </w:r>
          </w:p>
        </w:tc>
        <w:tc>
          <w:tcPr>
            <w:tcW w:type="dxa" w:w="1757"/>
            <w:vAlign w:val="center"/>
          </w:tcPr>
          <w:p>
            <w:pPr>
              <w:spacing w:after="30" w:before="30" w:line="240" w:lineRule="auto"/>
              <w:jc w:val="left"/>
            </w:pPr>
            <w:r>
              <w:rPr>
                <w:sz w:val="19"/>
              </w:rPr>
              <w:t>0.20 · 0.125 · 0.15</w:t>
            </w:r>
          </w:p>
        </w:tc>
      </w:tr>
    </w:tbl>
    <w:p>
      <w:pPr>
        <w:spacing w:after="0" w:line="100" w:lineRule="exact"/>
      </w:pPr>
    </w:p>
    <w:p>
      <w:r>
        <w:rPr>
          <w:b/>
        </w:rPr>
        <w:t>Three cycles.</w:t>
      </w:r>
      <w:r>
        <w:rPr/>
        <w:t xml:space="preserve"> Technical (T): equal weights. Social (S): the influence-based weights of our MCDA; after seeing the technical design, the conservation advocates tighten their curve and the citizens are satisfied sooner. Environmental priority (E): a second possible outcome of the stakeholder game, the MCDA scenario in which the advocates weigh most and accept at most twice today’s bycatch.</w:t>
      </w:r>
    </w:p>
    <w:p>
      <w:r>
        <w:rPr>
          <w:b/>
        </w:rPr>
        <w:t>Three physical constraints.</w:t>
      </w:r>
      <w:r>
        <w:rPr/>
        <w:t xml:space="preserve"> The tension in a towing line may not exceed the bollard pull of the vessel (1,700 kN), the plastic collected in 7 days must fit in the retention zone (25 t), and the fuel for a 49-day campaign must fit in the tanks (2.4 million litres). Together they exclude about 7 % of the design space: the corner where the skirt is deep, the spacing wide and the speed high.</w:t>
      </w:r>
    </w:p>
    <w:p>
      <w:pPr>
        <w:pStyle w:val="Heading1"/>
      </w:pPr>
      <w:r>
        <w:t>2. Results</w:t>
      </w:r>
    </w:p>
    <w:tbl>
      <w:tblPr>
        <w:tblW w:type="auto" w:w="0"/>
        <w:jc w:val="center"/>
        <w:tblBorders>
          <w:top w:val="single" w:sz="4" w:space="0" w:color="C9C8C2"/>
          <w:left w:val="nil" w:sz="4" w:space="0" w:color="C9C8C2"/>
          <w:bottom w:val="single" w:sz="4" w:space="0" w:color="C9C8C2"/>
          <w:right w:val="nil" w:sz="4" w:space="0" w:color="C9C8C2"/>
          <w:insideH w:val="single" w:sz="4" w:space="0" w:color="C9C8C2"/>
          <w:insideV w:val="nil" w:sz="4" w:space="0" w:color="C9C8C2"/>
        </w:tblBorders>
        <w:tblLayout w:type="fixed"/>
        <w:tblLook w:firstColumn="1" w:firstRow="1" w:lastColumn="0" w:lastRow="0" w:noHBand="0" w:noVBand="1" w:val="04A0"/>
      </w:tblPr>
      <w:tblGrid>
        <w:gridCol w:w="1928"/>
        <w:gridCol w:w="1928"/>
        <w:gridCol w:w="1928"/>
        <w:gridCol w:w="1928"/>
        <w:gridCol w:w="1928"/>
      </w:tblGrid>
      <w:tr>
        <w:trPr>
          <w:cantSplit/>
        </w:trPr>
        <w:tc>
          <w:tcPr>
            <w:tcW w:type="dxa" w:w="3515"/>
            <w:shd w:val="clear" w:color="auto" w:fill="E8EEF4"/>
            <w:vAlign w:val="center"/>
          </w:tcPr>
          <w:p>
            <w:pPr>
              <w:spacing w:after="30" w:before="30" w:line="240" w:lineRule="auto"/>
              <w:jc w:val="left"/>
            </w:pPr>
          </w:p>
        </w:tc>
        <w:tc>
          <w:tcPr>
            <w:tcW w:type="dxa" w:w="1304"/>
            <w:shd w:val="clear" w:color="auto" w:fill="E8EEF4"/>
            <w:vAlign w:val="center"/>
          </w:tcPr>
          <w:p>
            <w:pPr>
              <w:spacing w:after="30" w:before="30" w:line="240" w:lineRule="auto"/>
              <w:jc w:val="right"/>
            </w:pPr>
            <w:r>
              <w:rPr>
                <w:b/>
                <w:color w:val="123B5D"/>
                <w:sz w:val="19"/>
              </w:rPr>
              <w:t>Today</w:t>
            </w:r>
          </w:p>
        </w:tc>
        <w:tc>
          <w:tcPr>
            <w:tcW w:type="dxa" w:w="1531"/>
            <w:shd w:val="clear" w:color="auto" w:fill="E8EEF4"/>
            <w:vAlign w:val="center"/>
          </w:tcPr>
          <w:p>
            <w:pPr>
              <w:spacing w:after="30" w:before="30" w:line="240" w:lineRule="auto"/>
              <w:jc w:val="right"/>
            </w:pPr>
            <w:r>
              <w:rPr>
                <w:b/>
                <w:color w:val="123B5D"/>
                <w:sz w:val="19"/>
              </w:rPr>
              <w:t>Technical cycle</w:t>
            </w:r>
          </w:p>
        </w:tc>
        <w:tc>
          <w:tcPr>
            <w:tcW w:type="dxa" w:w="1417"/>
            <w:shd w:val="clear" w:color="auto" w:fill="E8EEF4"/>
            <w:vAlign w:val="center"/>
          </w:tcPr>
          <w:p>
            <w:pPr>
              <w:spacing w:after="30" w:before="30" w:line="240" w:lineRule="auto"/>
              <w:jc w:val="right"/>
            </w:pPr>
            <w:r>
              <w:rPr>
                <w:b/>
                <w:color w:val="123B5D"/>
                <w:sz w:val="19"/>
              </w:rPr>
              <w:t>Social cycle</w:t>
            </w:r>
          </w:p>
        </w:tc>
        <w:tc>
          <w:tcPr>
            <w:tcW w:type="dxa" w:w="1871"/>
            <w:shd w:val="clear" w:color="auto" w:fill="E8EEF4"/>
            <w:vAlign w:val="center"/>
          </w:tcPr>
          <w:p>
            <w:pPr>
              <w:spacing w:after="30" w:before="30" w:line="240" w:lineRule="auto"/>
              <w:jc w:val="right"/>
            </w:pPr>
            <w:r>
              <w:rPr>
                <w:b/>
                <w:color w:val="123B5D"/>
                <w:sz w:val="19"/>
              </w:rPr>
              <w:t>Environmental priority</w:t>
            </w:r>
          </w:p>
        </w:tc>
      </w:tr>
      <w:tr>
        <w:trPr>
          <w:cantSplit/>
        </w:trPr>
        <w:tc>
          <w:tcPr>
            <w:tcW w:type="dxa" w:w="3515"/>
            <w:shd w:val="clear" w:color="auto" w:fill="F6F6F4"/>
            <w:vAlign w:val="center"/>
          </w:tcPr>
          <w:p>
            <w:pPr>
              <w:spacing w:after="30" w:before="30" w:line="240" w:lineRule="auto"/>
              <w:jc w:val="left"/>
            </w:pPr>
            <w:r>
              <w:rPr>
                <w:b/>
                <w:color w:val="123B5D"/>
                <w:sz w:val="19"/>
              </w:rPr>
              <w:t>Design</w:t>
            </w:r>
          </w:p>
        </w:tc>
        <w:tc>
          <w:tcPr>
            <w:tcW w:type="dxa" w:w="1304"/>
            <w:shd w:val="clear" w:color="auto" w:fill="F6F6F4"/>
            <w:vAlign w:val="center"/>
          </w:tcPr>
          <w:p>
            <w:pPr>
              <w:spacing w:after="30" w:before="30" w:line="240" w:lineRule="auto"/>
              <w:jc w:val="right"/>
            </w:pPr>
          </w:p>
        </w:tc>
        <w:tc>
          <w:tcPr>
            <w:tcW w:type="dxa" w:w="1531"/>
            <w:shd w:val="clear" w:color="auto" w:fill="F6F6F4"/>
            <w:vAlign w:val="center"/>
          </w:tcPr>
          <w:p>
            <w:pPr>
              <w:spacing w:after="30" w:before="30" w:line="240" w:lineRule="auto"/>
              <w:jc w:val="right"/>
            </w:pPr>
          </w:p>
        </w:tc>
        <w:tc>
          <w:tcPr>
            <w:tcW w:type="dxa" w:w="1417"/>
            <w:shd w:val="clear" w:color="auto" w:fill="F6F6F4"/>
            <w:vAlign w:val="center"/>
          </w:tcPr>
          <w:p>
            <w:pPr>
              <w:spacing w:after="30" w:before="30" w:line="240" w:lineRule="auto"/>
              <w:jc w:val="right"/>
            </w:pPr>
          </w:p>
        </w:tc>
        <w:tc>
          <w:tcPr>
            <w:tcW w:type="dxa" w:w="1871"/>
            <w:shd w:val="clear" w:color="auto" w:fill="F6F6F4"/>
            <w:vAlign w:val="center"/>
          </w:tcPr>
          <w:p>
            <w:pPr>
              <w:spacing w:after="30" w:before="30" w:line="240" w:lineRule="auto"/>
              <w:jc w:val="right"/>
            </w:pPr>
          </w:p>
        </w:tc>
      </w:tr>
      <w:tr>
        <w:trPr>
          <w:cantSplit/>
        </w:trPr>
        <w:tc>
          <w:tcPr>
            <w:tcW w:type="dxa" w:w="3515"/>
            <w:vAlign w:val="center"/>
          </w:tcPr>
          <w:p>
            <w:pPr>
              <w:spacing w:after="30" w:before="30" w:line="240" w:lineRule="auto"/>
              <w:jc w:val="left"/>
            </w:pPr>
            <w:r>
              <w:rPr>
                <w:sz w:val="19"/>
              </w:rPr>
              <w:t>Number of systems</w:t>
            </w:r>
          </w:p>
        </w:tc>
        <w:tc>
          <w:tcPr>
            <w:tcW w:type="dxa" w:w="1304"/>
            <w:vAlign w:val="center"/>
          </w:tcPr>
          <w:p>
            <w:pPr>
              <w:spacing w:after="30" w:before="30" w:line="240" w:lineRule="auto"/>
              <w:jc w:val="right"/>
            </w:pPr>
            <w:r>
              <w:rPr>
                <w:sz w:val="19"/>
              </w:rPr>
              <w:t>1</w:t>
            </w:r>
          </w:p>
        </w:tc>
        <w:tc>
          <w:tcPr>
            <w:tcW w:type="dxa" w:w="1531"/>
            <w:vAlign w:val="center"/>
          </w:tcPr>
          <w:p>
            <w:pPr>
              <w:spacing w:after="30" w:before="30" w:line="240" w:lineRule="auto"/>
              <w:jc w:val="right"/>
            </w:pPr>
            <w:r>
              <w:rPr>
                <w:sz w:val="19"/>
              </w:rPr>
              <w:t>2</w:t>
            </w:r>
          </w:p>
        </w:tc>
        <w:tc>
          <w:tcPr>
            <w:tcW w:type="dxa" w:w="1417"/>
            <w:vAlign w:val="center"/>
          </w:tcPr>
          <w:p>
            <w:pPr>
              <w:spacing w:after="30" w:before="30" w:line="240" w:lineRule="auto"/>
              <w:jc w:val="right"/>
            </w:pPr>
            <w:r>
              <w:rPr>
                <w:sz w:val="19"/>
              </w:rPr>
              <w:t>2</w:t>
            </w:r>
          </w:p>
        </w:tc>
        <w:tc>
          <w:tcPr>
            <w:tcW w:type="dxa" w:w="1871"/>
            <w:vAlign w:val="center"/>
          </w:tcPr>
          <w:p>
            <w:pPr>
              <w:spacing w:after="30" w:before="30" w:line="240" w:lineRule="auto"/>
              <w:jc w:val="right"/>
            </w:pPr>
            <w:r>
              <w:rPr>
                <w:sz w:val="19"/>
              </w:rPr>
              <w:t>3</w:t>
            </w:r>
          </w:p>
        </w:tc>
      </w:tr>
      <w:tr>
        <w:trPr>
          <w:cantSplit/>
        </w:trPr>
        <w:tc>
          <w:tcPr>
            <w:tcW w:type="dxa" w:w="3515"/>
            <w:vAlign w:val="center"/>
          </w:tcPr>
          <w:p>
            <w:pPr>
              <w:spacing w:after="30" w:before="30" w:line="240" w:lineRule="auto"/>
              <w:jc w:val="left"/>
            </w:pPr>
            <w:r>
              <w:rPr>
                <w:sz w:val="19"/>
              </w:rPr>
              <w:t>Skirt depth [m]</w:t>
            </w:r>
          </w:p>
        </w:tc>
        <w:tc>
          <w:tcPr>
            <w:tcW w:type="dxa" w:w="1304"/>
            <w:vAlign w:val="center"/>
          </w:tcPr>
          <w:p>
            <w:pPr>
              <w:spacing w:after="30" w:before="30" w:line="240" w:lineRule="auto"/>
              <w:jc w:val="right"/>
            </w:pPr>
            <w:r>
              <w:rPr>
                <w:sz w:val="19"/>
              </w:rPr>
              <w:t>4.0</w:t>
            </w:r>
          </w:p>
        </w:tc>
        <w:tc>
          <w:tcPr>
            <w:tcW w:type="dxa" w:w="1531"/>
            <w:vAlign w:val="center"/>
          </w:tcPr>
          <w:p>
            <w:pPr>
              <w:spacing w:after="30" w:before="30" w:line="240" w:lineRule="auto"/>
              <w:jc w:val="right"/>
            </w:pPr>
            <w:r>
              <w:rPr>
                <w:sz w:val="19"/>
              </w:rPr>
              <w:t>3.0</w:t>
            </w:r>
          </w:p>
        </w:tc>
        <w:tc>
          <w:tcPr>
            <w:tcW w:type="dxa" w:w="1417"/>
            <w:vAlign w:val="center"/>
          </w:tcPr>
          <w:p>
            <w:pPr>
              <w:spacing w:after="30" w:before="30" w:line="240" w:lineRule="auto"/>
              <w:jc w:val="right"/>
            </w:pPr>
            <w:r>
              <w:rPr>
                <w:sz w:val="19"/>
              </w:rPr>
              <w:t>4.7</w:t>
            </w:r>
          </w:p>
        </w:tc>
        <w:tc>
          <w:tcPr>
            <w:tcW w:type="dxa" w:w="1871"/>
            <w:vAlign w:val="center"/>
          </w:tcPr>
          <w:p>
            <w:pPr>
              <w:spacing w:after="30" w:before="30" w:line="240" w:lineRule="auto"/>
              <w:jc w:val="right"/>
            </w:pPr>
            <w:r>
              <w:rPr>
                <w:sz w:val="19"/>
              </w:rPr>
              <w:t>4.3</w:t>
            </w:r>
          </w:p>
        </w:tc>
      </w:tr>
      <w:tr>
        <w:trPr>
          <w:cantSplit/>
        </w:trPr>
        <w:tc>
          <w:tcPr>
            <w:tcW w:type="dxa" w:w="3515"/>
            <w:vAlign w:val="center"/>
          </w:tcPr>
          <w:p>
            <w:pPr>
              <w:spacing w:after="30" w:before="30" w:line="240" w:lineRule="auto"/>
              <w:jc w:val="left"/>
            </w:pPr>
            <w:r>
              <w:rPr>
                <w:sz w:val="19"/>
              </w:rPr>
              <w:t>Vessel spacing [m]</w:t>
            </w:r>
          </w:p>
        </w:tc>
        <w:tc>
          <w:tcPr>
            <w:tcW w:type="dxa" w:w="1304"/>
            <w:vAlign w:val="center"/>
          </w:tcPr>
          <w:p>
            <w:pPr>
              <w:spacing w:after="30" w:before="30" w:line="240" w:lineRule="auto"/>
              <w:jc w:val="right"/>
            </w:pPr>
            <w:r>
              <w:rPr>
                <w:sz w:val="19"/>
              </w:rPr>
              <w:t>1,460</w:t>
            </w:r>
          </w:p>
        </w:tc>
        <w:tc>
          <w:tcPr>
            <w:tcW w:type="dxa" w:w="1531"/>
            <w:vAlign w:val="center"/>
          </w:tcPr>
          <w:p>
            <w:pPr>
              <w:spacing w:after="30" w:before="30" w:line="240" w:lineRule="auto"/>
              <w:jc w:val="right"/>
            </w:pPr>
            <w:r>
              <w:rPr>
                <w:sz w:val="19"/>
              </w:rPr>
              <w:t>1,770</w:t>
            </w:r>
          </w:p>
        </w:tc>
        <w:tc>
          <w:tcPr>
            <w:tcW w:type="dxa" w:w="1417"/>
            <w:vAlign w:val="center"/>
          </w:tcPr>
          <w:p>
            <w:pPr>
              <w:spacing w:after="30" w:before="30" w:line="240" w:lineRule="auto"/>
              <w:jc w:val="right"/>
            </w:pPr>
            <w:r>
              <w:rPr>
                <w:sz w:val="19"/>
              </w:rPr>
              <w:t>1,795</w:t>
            </w:r>
          </w:p>
        </w:tc>
        <w:tc>
          <w:tcPr>
            <w:tcW w:type="dxa" w:w="1871"/>
            <w:vAlign w:val="center"/>
          </w:tcPr>
          <w:p>
            <w:pPr>
              <w:spacing w:after="30" w:before="30" w:line="240" w:lineRule="auto"/>
              <w:jc w:val="right"/>
            </w:pPr>
            <w:r>
              <w:rPr>
                <w:sz w:val="19"/>
              </w:rPr>
              <w:t>1,795</w:t>
            </w:r>
          </w:p>
        </w:tc>
      </w:tr>
      <w:tr>
        <w:trPr>
          <w:cantSplit/>
        </w:trPr>
        <w:tc>
          <w:tcPr>
            <w:tcW w:type="dxa" w:w="3515"/>
            <w:vAlign w:val="center"/>
          </w:tcPr>
          <w:p>
            <w:pPr>
              <w:spacing w:after="30" w:before="30" w:line="240" w:lineRule="auto"/>
              <w:jc w:val="left"/>
            </w:pPr>
            <w:r>
              <w:rPr>
                <w:sz w:val="19"/>
              </w:rPr>
              <w:t>Towing speed [m/s]</w:t>
            </w:r>
          </w:p>
        </w:tc>
        <w:tc>
          <w:tcPr>
            <w:tcW w:type="dxa" w:w="1304"/>
            <w:vAlign w:val="center"/>
          </w:tcPr>
          <w:p>
            <w:pPr>
              <w:spacing w:after="30" w:before="30" w:line="240" w:lineRule="auto"/>
              <w:jc w:val="right"/>
            </w:pPr>
            <w:r>
              <w:rPr>
                <w:sz w:val="19"/>
              </w:rPr>
              <w:t>0.75</w:t>
            </w:r>
          </w:p>
        </w:tc>
        <w:tc>
          <w:tcPr>
            <w:tcW w:type="dxa" w:w="1531"/>
            <w:vAlign w:val="center"/>
          </w:tcPr>
          <w:p>
            <w:pPr>
              <w:spacing w:after="30" w:before="30" w:line="240" w:lineRule="auto"/>
              <w:jc w:val="right"/>
            </w:pPr>
            <w:r>
              <w:rPr>
                <w:sz w:val="19"/>
              </w:rPr>
              <w:t>0.61</w:t>
            </w:r>
          </w:p>
        </w:tc>
        <w:tc>
          <w:tcPr>
            <w:tcW w:type="dxa" w:w="1417"/>
            <w:vAlign w:val="center"/>
          </w:tcPr>
          <w:p>
            <w:pPr>
              <w:spacing w:after="30" w:before="30" w:line="240" w:lineRule="auto"/>
              <w:jc w:val="right"/>
            </w:pPr>
            <w:r>
              <w:rPr>
                <w:sz w:val="19"/>
              </w:rPr>
              <w:t>0.66</w:t>
            </w:r>
          </w:p>
        </w:tc>
        <w:tc>
          <w:tcPr>
            <w:tcW w:type="dxa" w:w="1871"/>
            <w:vAlign w:val="center"/>
          </w:tcPr>
          <w:p>
            <w:pPr>
              <w:spacing w:after="30" w:before="30" w:line="240" w:lineRule="auto"/>
              <w:jc w:val="right"/>
            </w:pPr>
            <w:r>
              <w:rPr>
                <w:sz w:val="19"/>
              </w:rPr>
              <w:t>0.29</w:t>
            </w:r>
          </w:p>
        </w:tc>
      </w:tr>
      <w:tr>
        <w:trPr>
          <w:cantSplit/>
        </w:trPr>
        <w:tc>
          <w:tcPr>
            <w:tcW w:type="dxa" w:w="3515"/>
            <w:vAlign w:val="center"/>
          </w:tcPr>
          <w:p>
            <w:pPr>
              <w:spacing w:after="30" w:before="30" w:line="240" w:lineRule="auto"/>
              <w:jc w:val="left"/>
            </w:pPr>
            <w:r>
              <w:rPr>
                <w:sz w:val="19"/>
              </w:rPr>
              <w:t>Mesh size [mm]</w:t>
            </w:r>
          </w:p>
        </w:tc>
        <w:tc>
          <w:tcPr>
            <w:tcW w:type="dxa" w:w="1304"/>
            <w:vAlign w:val="center"/>
          </w:tcPr>
          <w:p>
            <w:pPr>
              <w:spacing w:after="30" w:before="30" w:line="240" w:lineRule="auto"/>
              <w:jc w:val="right"/>
            </w:pPr>
            <w:r>
              <w:rPr>
                <w:sz w:val="19"/>
              </w:rPr>
              <w:t>16</w:t>
            </w:r>
          </w:p>
        </w:tc>
        <w:tc>
          <w:tcPr>
            <w:tcW w:type="dxa" w:w="1531"/>
            <w:vAlign w:val="center"/>
          </w:tcPr>
          <w:p>
            <w:pPr>
              <w:spacing w:after="30" w:before="30" w:line="240" w:lineRule="auto"/>
              <w:jc w:val="right"/>
            </w:pPr>
            <w:r>
              <w:rPr>
                <w:sz w:val="19"/>
              </w:rPr>
              <w:t>10</w:t>
            </w:r>
          </w:p>
        </w:tc>
        <w:tc>
          <w:tcPr>
            <w:tcW w:type="dxa" w:w="1417"/>
            <w:vAlign w:val="center"/>
          </w:tcPr>
          <w:p>
            <w:pPr>
              <w:spacing w:after="30" w:before="30" w:line="240" w:lineRule="auto"/>
              <w:jc w:val="right"/>
            </w:pPr>
            <w:r>
              <w:rPr>
                <w:sz w:val="19"/>
              </w:rPr>
              <w:t>18</w:t>
            </w:r>
          </w:p>
        </w:tc>
        <w:tc>
          <w:tcPr>
            <w:tcW w:type="dxa" w:w="1871"/>
            <w:vAlign w:val="center"/>
          </w:tcPr>
          <w:p>
            <w:pPr>
              <w:spacing w:after="30" w:before="30" w:line="240" w:lineRule="auto"/>
              <w:jc w:val="right"/>
            </w:pPr>
            <w:r>
              <w:rPr>
                <w:sz w:val="19"/>
              </w:rPr>
              <w:t>20</w:t>
            </w:r>
          </w:p>
        </w:tc>
      </w:tr>
      <w:tr>
        <w:trPr>
          <w:cantSplit/>
        </w:trPr>
        <w:tc>
          <w:tcPr>
            <w:tcW w:type="dxa" w:w="3515"/>
            <w:shd w:val="clear" w:color="auto" w:fill="F6F6F4"/>
            <w:vAlign w:val="center"/>
          </w:tcPr>
          <w:p>
            <w:pPr>
              <w:spacing w:after="30" w:before="30" w:line="240" w:lineRule="auto"/>
              <w:jc w:val="left"/>
            </w:pPr>
            <w:r>
              <w:rPr>
                <w:b/>
                <w:color w:val="123B5D"/>
                <w:sz w:val="19"/>
              </w:rPr>
              <w:t>Objectives</w:t>
            </w:r>
          </w:p>
        </w:tc>
        <w:tc>
          <w:tcPr>
            <w:tcW w:type="dxa" w:w="1304"/>
            <w:shd w:val="clear" w:color="auto" w:fill="F6F6F4"/>
            <w:vAlign w:val="center"/>
          </w:tcPr>
          <w:p>
            <w:pPr>
              <w:spacing w:after="30" w:before="30" w:line="240" w:lineRule="auto"/>
              <w:jc w:val="right"/>
            </w:pPr>
          </w:p>
        </w:tc>
        <w:tc>
          <w:tcPr>
            <w:tcW w:type="dxa" w:w="1531"/>
            <w:shd w:val="clear" w:color="auto" w:fill="F6F6F4"/>
            <w:vAlign w:val="center"/>
          </w:tcPr>
          <w:p>
            <w:pPr>
              <w:spacing w:after="30" w:before="30" w:line="240" w:lineRule="auto"/>
              <w:jc w:val="right"/>
            </w:pPr>
          </w:p>
        </w:tc>
        <w:tc>
          <w:tcPr>
            <w:tcW w:type="dxa" w:w="1417"/>
            <w:shd w:val="clear" w:color="auto" w:fill="F6F6F4"/>
            <w:vAlign w:val="center"/>
          </w:tcPr>
          <w:p>
            <w:pPr>
              <w:spacing w:after="30" w:before="30" w:line="240" w:lineRule="auto"/>
              <w:jc w:val="right"/>
            </w:pPr>
          </w:p>
        </w:tc>
        <w:tc>
          <w:tcPr>
            <w:tcW w:type="dxa" w:w="1871"/>
            <w:shd w:val="clear" w:color="auto" w:fill="F6F6F4"/>
            <w:vAlign w:val="center"/>
          </w:tcPr>
          <w:p>
            <w:pPr>
              <w:spacing w:after="30" w:before="30" w:line="240" w:lineRule="auto"/>
              <w:jc w:val="right"/>
            </w:pPr>
          </w:p>
        </w:tc>
      </w:tr>
      <w:tr>
        <w:trPr>
          <w:cantSplit/>
        </w:trPr>
        <w:tc>
          <w:tcPr>
            <w:tcW w:type="dxa" w:w="3515"/>
            <w:vAlign w:val="center"/>
          </w:tcPr>
          <w:p>
            <w:pPr>
              <w:spacing w:after="30" w:before="30" w:line="240" w:lineRule="auto"/>
              <w:jc w:val="left"/>
            </w:pPr>
            <w:r>
              <w:rPr>
                <w:sz w:val="19"/>
              </w:rPr>
              <w:t>Cost [M€ per year]</w:t>
            </w:r>
          </w:p>
        </w:tc>
        <w:tc>
          <w:tcPr>
            <w:tcW w:type="dxa" w:w="1304"/>
            <w:vAlign w:val="center"/>
          </w:tcPr>
          <w:p>
            <w:pPr>
              <w:spacing w:after="30" w:before="30" w:line="240" w:lineRule="auto"/>
              <w:jc w:val="right"/>
            </w:pPr>
            <w:r>
              <w:rPr>
                <w:sz w:val="19"/>
              </w:rPr>
              <w:t>13.4</w:t>
            </w:r>
          </w:p>
        </w:tc>
        <w:tc>
          <w:tcPr>
            <w:tcW w:type="dxa" w:w="1531"/>
            <w:vAlign w:val="center"/>
          </w:tcPr>
          <w:p>
            <w:pPr>
              <w:spacing w:after="30" w:before="30" w:line="240" w:lineRule="auto"/>
              <w:jc w:val="right"/>
            </w:pPr>
            <w:r>
              <w:rPr>
                <w:sz w:val="19"/>
              </w:rPr>
              <w:t>25.0</w:t>
            </w:r>
          </w:p>
        </w:tc>
        <w:tc>
          <w:tcPr>
            <w:tcW w:type="dxa" w:w="1417"/>
            <w:vAlign w:val="center"/>
          </w:tcPr>
          <w:p>
            <w:pPr>
              <w:spacing w:after="30" w:before="30" w:line="240" w:lineRule="auto"/>
              <w:jc w:val="right"/>
            </w:pPr>
            <w:r>
              <w:rPr>
                <w:sz w:val="19"/>
              </w:rPr>
              <w:t>27.0</w:t>
            </w:r>
          </w:p>
        </w:tc>
        <w:tc>
          <w:tcPr>
            <w:tcW w:type="dxa" w:w="1871"/>
            <w:vAlign w:val="center"/>
          </w:tcPr>
          <w:p>
            <w:pPr>
              <w:spacing w:after="30" w:before="30" w:line="240" w:lineRule="auto"/>
              <w:jc w:val="right"/>
            </w:pPr>
            <w:r>
              <w:rPr>
                <w:sz w:val="19"/>
              </w:rPr>
              <w:t>35.8</w:t>
            </w:r>
          </w:p>
        </w:tc>
      </w:tr>
      <w:tr>
        <w:trPr>
          <w:cantSplit/>
        </w:trPr>
        <w:tc>
          <w:tcPr>
            <w:tcW w:type="dxa" w:w="3515"/>
            <w:vAlign w:val="center"/>
          </w:tcPr>
          <w:p>
            <w:pPr>
              <w:spacing w:after="30" w:before="30" w:line="240" w:lineRule="auto"/>
              <w:jc w:val="left"/>
            </w:pPr>
            <w:r>
              <w:rPr>
                <w:sz w:val="19"/>
              </w:rPr>
              <w:t>Plastic removal [t per year]</w:t>
            </w:r>
          </w:p>
        </w:tc>
        <w:tc>
          <w:tcPr>
            <w:tcW w:type="dxa" w:w="1304"/>
            <w:vAlign w:val="center"/>
          </w:tcPr>
          <w:p>
            <w:pPr>
              <w:spacing w:after="30" w:before="30" w:line="240" w:lineRule="auto"/>
              <w:jc w:val="right"/>
            </w:pPr>
            <w:r>
              <w:rPr>
                <w:sz w:val="19"/>
              </w:rPr>
              <w:t>863</w:t>
            </w:r>
          </w:p>
        </w:tc>
        <w:tc>
          <w:tcPr>
            <w:tcW w:type="dxa" w:w="1531"/>
            <w:vAlign w:val="center"/>
          </w:tcPr>
          <w:p>
            <w:pPr>
              <w:spacing w:after="30" w:before="30" w:line="240" w:lineRule="auto"/>
              <w:jc w:val="right"/>
            </w:pPr>
            <w:r>
              <w:rPr>
                <w:sz w:val="19"/>
              </w:rPr>
              <w:t>1,768</w:t>
            </w:r>
          </w:p>
        </w:tc>
        <w:tc>
          <w:tcPr>
            <w:tcW w:type="dxa" w:w="1417"/>
            <w:vAlign w:val="center"/>
          </w:tcPr>
          <w:p>
            <w:pPr>
              <w:spacing w:after="30" w:before="30" w:line="240" w:lineRule="auto"/>
              <w:jc w:val="right"/>
            </w:pPr>
            <w:r>
              <w:rPr>
                <w:sz w:val="19"/>
              </w:rPr>
              <w:t>1,960</w:t>
            </w:r>
          </w:p>
        </w:tc>
        <w:tc>
          <w:tcPr>
            <w:tcW w:type="dxa" w:w="1871"/>
            <w:vAlign w:val="center"/>
          </w:tcPr>
          <w:p>
            <w:pPr>
              <w:spacing w:after="30" w:before="30" w:line="240" w:lineRule="auto"/>
              <w:jc w:val="right"/>
            </w:pPr>
            <w:r>
              <w:rPr>
                <w:sz w:val="19"/>
              </w:rPr>
              <w:t>1,324</w:t>
            </w:r>
          </w:p>
        </w:tc>
      </w:tr>
      <w:tr>
        <w:trPr>
          <w:cantSplit/>
        </w:trPr>
        <w:tc>
          <w:tcPr>
            <w:tcW w:type="dxa" w:w="3515"/>
            <w:vAlign w:val="center"/>
          </w:tcPr>
          <w:p>
            <w:pPr>
              <w:spacing w:after="30" w:before="30" w:line="240" w:lineRule="auto"/>
              <w:jc w:val="left"/>
            </w:pPr>
            <w:r>
              <w:rPr>
                <w:sz w:val="19"/>
              </w:rPr>
              <w:t>Sea area closed to fishing [km²]</w:t>
            </w:r>
          </w:p>
        </w:tc>
        <w:tc>
          <w:tcPr>
            <w:tcW w:type="dxa" w:w="1304"/>
            <w:vAlign w:val="center"/>
          </w:tcPr>
          <w:p>
            <w:pPr>
              <w:spacing w:after="30" w:before="30" w:line="240" w:lineRule="auto"/>
              <w:jc w:val="right"/>
            </w:pPr>
            <w:r>
              <w:rPr>
                <w:sz w:val="19"/>
              </w:rPr>
              <w:t>4.5</w:t>
            </w:r>
          </w:p>
        </w:tc>
        <w:tc>
          <w:tcPr>
            <w:tcW w:type="dxa" w:w="1531"/>
            <w:vAlign w:val="center"/>
          </w:tcPr>
          <w:p>
            <w:pPr>
              <w:spacing w:after="30" w:before="30" w:line="240" w:lineRule="auto"/>
              <w:jc w:val="right"/>
            </w:pPr>
            <w:r>
              <w:rPr>
                <w:sz w:val="19"/>
              </w:rPr>
              <w:t>9.2</w:t>
            </w:r>
          </w:p>
        </w:tc>
        <w:tc>
          <w:tcPr>
            <w:tcW w:type="dxa" w:w="1417"/>
            <w:vAlign w:val="center"/>
          </w:tcPr>
          <w:p>
            <w:pPr>
              <w:spacing w:after="30" w:before="30" w:line="240" w:lineRule="auto"/>
              <w:jc w:val="right"/>
            </w:pPr>
            <w:r>
              <w:rPr>
                <w:sz w:val="19"/>
              </w:rPr>
              <w:t>9.2</w:t>
            </w:r>
          </w:p>
        </w:tc>
        <w:tc>
          <w:tcPr>
            <w:tcW w:type="dxa" w:w="1871"/>
            <w:vAlign w:val="center"/>
          </w:tcPr>
          <w:p>
            <w:pPr>
              <w:spacing w:after="30" w:before="30" w:line="240" w:lineRule="auto"/>
              <w:jc w:val="right"/>
            </w:pPr>
            <w:r>
              <w:rPr>
                <w:sz w:val="19"/>
              </w:rPr>
              <w:t>13.7</w:t>
            </w:r>
          </w:p>
        </w:tc>
      </w:tr>
      <w:tr>
        <w:trPr>
          <w:cantSplit/>
        </w:trPr>
        <w:tc>
          <w:tcPr>
            <w:tcW w:type="dxa" w:w="3515"/>
            <w:vAlign w:val="center"/>
          </w:tcPr>
          <w:p>
            <w:pPr>
              <w:spacing w:after="30" w:before="30" w:line="240" w:lineRule="auto"/>
              <w:jc w:val="left"/>
            </w:pPr>
            <w:r>
              <w:rPr>
                <w:sz w:val="19"/>
              </w:rPr>
              <w:t>Bycatch [animals per year]</w:t>
            </w:r>
          </w:p>
        </w:tc>
        <w:tc>
          <w:tcPr>
            <w:tcW w:type="dxa" w:w="1304"/>
            <w:vAlign w:val="center"/>
          </w:tcPr>
          <w:p>
            <w:pPr>
              <w:spacing w:after="30" w:before="30" w:line="240" w:lineRule="auto"/>
              <w:jc w:val="right"/>
            </w:pPr>
            <w:r>
              <w:rPr>
                <w:sz w:val="19"/>
              </w:rPr>
              <w:t>50,600</w:t>
            </w:r>
          </w:p>
        </w:tc>
        <w:tc>
          <w:tcPr>
            <w:tcW w:type="dxa" w:w="1531"/>
            <w:vAlign w:val="center"/>
          </w:tcPr>
          <w:p>
            <w:pPr>
              <w:spacing w:after="30" w:before="30" w:line="240" w:lineRule="auto"/>
              <w:jc w:val="right"/>
            </w:pPr>
            <w:r>
              <w:rPr>
                <w:sz w:val="19"/>
              </w:rPr>
              <w:t>115,800</w:t>
            </w:r>
          </w:p>
        </w:tc>
        <w:tc>
          <w:tcPr>
            <w:tcW w:type="dxa" w:w="1417"/>
            <w:vAlign w:val="center"/>
          </w:tcPr>
          <w:p>
            <w:pPr>
              <w:spacing w:after="30" w:before="30" w:line="240" w:lineRule="auto"/>
              <w:jc w:val="right"/>
            </w:pPr>
            <w:r>
              <w:rPr>
                <w:sz w:val="19"/>
              </w:rPr>
              <w:t>95,200</w:t>
            </w:r>
          </w:p>
        </w:tc>
        <w:tc>
          <w:tcPr>
            <w:tcW w:type="dxa" w:w="1871"/>
            <w:vAlign w:val="center"/>
          </w:tcPr>
          <w:p>
            <w:pPr>
              <w:spacing w:after="30" w:before="30" w:line="240" w:lineRule="auto"/>
              <w:jc w:val="right"/>
            </w:pPr>
            <w:r>
              <w:rPr>
                <w:sz w:val="19"/>
              </w:rPr>
              <w:t>27,400</w:t>
            </w:r>
          </w:p>
        </w:tc>
      </w:tr>
      <w:tr>
        <w:trPr>
          <w:cantSplit/>
        </w:trPr>
        <w:tc>
          <w:tcPr>
            <w:tcW w:type="dxa" w:w="3515"/>
            <w:vAlign w:val="center"/>
          </w:tcPr>
          <w:p>
            <w:pPr>
              <w:spacing w:after="30" w:before="30" w:line="240" w:lineRule="auto"/>
              <w:jc w:val="left"/>
            </w:pPr>
            <w:r>
              <w:rPr>
                <w:sz w:val="19"/>
              </w:rPr>
              <w:t>Net microplastic formation [t per year]</w:t>
            </w:r>
          </w:p>
        </w:tc>
        <w:tc>
          <w:tcPr>
            <w:tcW w:type="dxa" w:w="1304"/>
            <w:vAlign w:val="center"/>
          </w:tcPr>
          <w:p>
            <w:pPr>
              <w:spacing w:after="30" w:before="30" w:line="240" w:lineRule="auto"/>
              <w:jc w:val="right"/>
            </w:pPr>
            <w:r>
              <w:rPr>
                <w:sz w:val="19"/>
              </w:rPr>
              <w:t>−25</w:t>
            </w:r>
          </w:p>
        </w:tc>
        <w:tc>
          <w:tcPr>
            <w:tcW w:type="dxa" w:w="1531"/>
            <w:vAlign w:val="center"/>
          </w:tcPr>
          <w:p>
            <w:pPr>
              <w:spacing w:after="30" w:before="30" w:line="240" w:lineRule="auto"/>
              <w:jc w:val="right"/>
            </w:pPr>
            <w:r>
              <w:rPr>
                <w:sz w:val="19"/>
              </w:rPr>
              <w:t>−52</w:t>
            </w:r>
          </w:p>
        </w:tc>
        <w:tc>
          <w:tcPr>
            <w:tcW w:type="dxa" w:w="1417"/>
            <w:vAlign w:val="center"/>
          </w:tcPr>
          <w:p>
            <w:pPr>
              <w:spacing w:after="30" w:before="30" w:line="240" w:lineRule="auto"/>
              <w:jc w:val="right"/>
            </w:pPr>
            <w:r>
              <w:rPr>
                <w:sz w:val="19"/>
              </w:rPr>
              <w:t>−57</w:t>
            </w:r>
          </w:p>
        </w:tc>
        <w:tc>
          <w:tcPr>
            <w:tcW w:type="dxa" w:w="1871"/>
            <w:vAlign w:val="center"/>
          </w:tcPr>
          <w:p>
            <w:pPr>
              <w:spacing w:after="30" w:before="30" w:line="240" w:lineRule="auto"/>
              <w:jc w:val="right"/>
            </w:pPr>
            <w:r>
              <w:rPr>
                <w:sz w:val="19"/>
              </w:rPr>
              <w:t>−39</w:t>
            </w:r>
          </w:p>
        </w:tc>
      </w:tr>
      <w:tr>
        <w:trPr>
          <w:cantSplit/>
        </w:trPr>
        <w:tc>
          <w:tcPr>
            <w:tcW w:type="dxa" w:w="3515"/>
            <w:shd w:val="clear" w:color="auto" w:fill="F6F6F4"/>
            <w:vAlign w:val="center"/>
          </w:tcPr>
          <w:p>
            <w:pPr>
              <w:spacing w:after="30" w:before="30" w:line="240" w:lineRule="auto"/>
              <w:jc w:val="left"/>
            </w:pPr>
            <w:r>
              <w:rPr>
                <w:b/>
                <w:color w:val="123B5D"/>
                <w:sz w:val="19"/>
              </w:rPr>
              <w:t>Efficiency</w:t>
            </w:r>
          </w:p>
        </w:tc>
        <w:tc>
          <w:tcPr>
            <w:tcW w:type="dxa" w:w="1304"/>
            <w:shd w:val="clear" w:color="auto" w:fill="F6F6F4"/>
            <w:vAlign w:val="center"/>
          </w:tcPr>
          <w:p>
            <w:pPr>
              <w:spacing w:after="30" w:before="30" w:line="240" w:lineRule="auto"/>
              <w:jc w:val="right"/>
            </w:pPr>
          </w:p>
        </w:tc>
        <w:tc>
          <w:tcPr>
            <w:tcW w:type="dxa" w:w="1531"/>
            <w:shd w:val="clear" w:color="auto" w:fill="F6F6F4"/>
            <w:vAlign w:val="center"/>
          </w:tcPr>
          <w:p>
            <w:pPr>
              <w:spacing w:after="30" w:before="30" w:line="240" w:lineRule="auto"/>
              <w:jc w:val="right"/>
            </w:pPr>
          </w:p>
        </w:tc>
        <w:tc>
          <w:tcPr>
            <w:tcW w:type="dxa" w:w="1417"/>
            <w:shd w:val="clear" w:color="auto" w:fill="F6F6F4"/>
            <w:vAlign w:val="center"/>
          </w:tcPr>
          <w:p>
            <w:pPr>
              <w:spacing w:after="30" w:before="30" w:line="240" w:lineRule="auto"/>
              <w:jc w:val="right"/>
            </w:pPr>
          </w:p>
        </w:tc>
        <w:tc>
          <w:tcPr>
            <w:tcW w:type="dxa" w:w="1871"/>
            <w:shd w:val="clear" w:color="auto" w:fill="F6F6F4"/>
            <w:vAlign w:val="center"/>
          </w:tcPr>
          <w:p>
            <w:pPr>
              <w:spacing w:after="30" w:before="30" w:line="240" w:lineRule="auto"/>
              <w:jc w:val="right"/>
            </w:pPr>
          </w:p>
        </w:tc>
      </w:tr>
      <w:tr>
        <w:trPr>
          <w:cantSplit/>
        </w:trPr>
        <w:tc>
          <w:tcPr>
            <w:tcW w:type="dxa" w:w="3515"/>
            <w:vAlign w:val="center"/>
          </w:tcPr>
          <w:p>
            <w:pPr>
              <w:spacing w:after="30" w:before="30" w:line="240" w:lineRule="auto"/>
              <w:jc w:val="left"/>
            </w:pPr>
            <w:r>
              <w:rPr>
                <w:sz w:val="19"/>
              </w:rPr>
              <w:t>Cost per tonne of plastic [k€]</w:t>
            </w:r>
          </w:p>
        </w:tc>
        <w:tc>
          <w:tcPr>
            <w:tcW w:type="dxa" w:w="1304"/>
            <w:vAlign w:val="center"/>
          </w:tcPr>
          <w:p>
            <w:pPr>
              <w:spacing w:after="30" w:before="30" w:line="240" w:lineRule="auto"/>
              <w:jc w:val="right"/>
            </w:pPr>
            <w:r>
              <w:rPr>
                <w:sz w:val="19"/>
              </w:rPr>
              <w:t>15.6</w:t>
            </w:r>
          </w:p>
        </w:tc>
        <w:tc>
          <w:tcPr>
            <w:tcW w:type="dxa" w:w="1531"/>
            <w:vAlign w:val="center"/>
          </w:tcPr>
          <w:p>
            <w:pPr>
              <w:spacing w:after="30" w:before="30" w:line="240" w:lineRule="auto"/>
              <w:jc w:val="right"/>
            </w:pPr>
            <w:r>
              <w:rPr>
                <w:sz w:val="19"/>
              </w:rPr>
              <w:t>14.1</w:t>
            </w:r>
          </w:p>
        </w:tc>
        <w:tc>
          <w:tcPr>
            <w:tcW w:type="dxa" w:w="1417"/>
            <w:vAlign w:val="center"/>
          </w:tcPr>
          <w:p>
            <w:pPr>
              <w:spacing w:after="30" w:before="30" w:line="240" w:lineRule="auto"/>
              <w:jc w:val="right"/>
            </w:pPr>
            <w:r>
              <w:rPr>
                <w:sz w:val="19"/>
              </w:rPr>
              <w:t>13.8</w:t>
            </w:r>
          </w:p>
        </w:tc>
        <w:tc>
          <w:tcPr>
            <w:tcW w:type="dxa" w:w="1871"/>
            <w:vAlign w:val="center"/>
          </w:tcPr>
          <w:p>
            <w:pPr>
              <w:spacing w:after="30" w:before="30" w:line="240" w:lineRule="auto"/>
              <w:jc w:val="right"/>
            </w:pPr>
            <w:r>
              <w:rPr>
                <w:sz w:val="19"/>
              </w:rPr>
              <w:t>27.0</w:t>
            </w:r>
          </w:p>
        </w:tc>
      </w:tr>
      <w:tr>
        <w:trPr>
          <w:cantSplit/>
        </w:trPr>
        <w:tc>
          <w:tcPr>
            <w:tcW w:type="dxa" w:w="3515"/>
            <w:vAlign w:val="center"/>
          </w:tcPr>
          <w:p>
            <w:pPr>
              <w:spacing w:after="30" w:before="30" w:line="240" w:lineRule="auto"/>
              <w:jc w:val="left"/>
            </w:pPr>
            <w:r>
              <w:rPr>
                <w:sz w:val="19"/>
              </w:rPr>
              <w:t>Bycatch per tonne of plastic [animals]</w:t>
            </w:r>
          </w:p>
        </w:tc>
        <w:tc>
          <w:tcPr>
            <w:tcW w:type="dxa" w:w="1304"/>
            <w:vAlign w:val="center"/>
          </w:tcPr>
          <w:p>
            <w:pPr>
              <w:spacing w:after="30" w:before="30" w:line="240" w:lineRule="auto"/>
              <w:jc w:val="right"/>
            </w:pPr>
            <w:r>
              <w:rPr>
                <w:sz w:val="19"/>
              </w:rPr>
              <w:t>59</w:t>
            </w:r>
          </w:p>
        </w:tc>
        <w:tc>
          <w:tcPr>
            <w:tcW w:type="dxa" w:w="1531"/>
            <w:vAlign w:val="center"/>
          </w:tcPr>
          <w:p>
            <w:pPr>
              <w:spacing w:after="30" w:before="30" w:line="240" w:lineRule="auto"/>
              <w:jc w:val="right"/>
            </w:pPr>
            <w:r>
              <w:rPr>
                <w:sz w:val="19"/>
              </w:rPr>
              <w:t>66</w:t>
            </w:r>
          </w:p>
        </w:tc>
        <w:tc>
          <w:tcPr>
            <w:tcW w:type="dxa" w:w="1417"/>
            <w:vAlign w:val="center"/>
          </w:tcPr>
          <w:p>
            <w:pPr>
              <w:spacing w:after="30" w:before="30" w:line="240" w:lineRule="auto"/>
              <w:jc w:val="right"/>
            </w:pPr>
            <w:r>
              <w:rPr>
                <w:sz w:val="19"/>
              </w:rPr>
              <w:t>49</w:t>
            </w:r>
          </w:p>
        </w:tc>
        <w:tc>
          <w:tcPr>
            <w:tcW w:type="dxa" w:w="1871"/>
            <w:vAlign w:val="center"/>
          </w:tcPr>
          <w:p>
            <w:pPr>
              <w:spacing w:after="30" w:before="30" w:line="240" w:lineRule="auto"/>
              <w:jc w:val="right"/>
            </w:pPr>
            <w:r>
              <w:rPr>
                <w:sz w:val="19"/>
              </w:rPr>
              <w:t>21</w:t>
            </w:r>
          </w:p>
        </w:tc>
      </w:tr>
    </w:tbl>
    <w:p>
      <w:pPr>
        <w:spacing w:after="0" w:line="100" w:lineRule="exact"/>
      </w:pPr>
    </w:p>
    <w:p>
      <w:pPr>
        <w:spacing w:after="180"/>
      </w:pPr>
      <w:r>
        <w:rPr>
          <w:i/>
          <w:color w:val="52514E"/>
          <w:sz w:val="18"/>
        </w:rPr>
        <w:t>Table 1. Today’s design and the min-max optimum of each cycle. Each column is one run of the notebook. Repeated runs give the same number of systems and nearly the same scores; skirt depth, speed and mesh shift a little between runs, because the optimum is flat in these directions.</w:t>
      </w:r>
    </w:p>
    <w:p>
      <w:pPr>
        <w:keepNext/>
        <w:spacing w:after="40"/>
        <w:jc w:val="center"/>
      </w:pPr>
      <w:r>
        <w:drawing>
          <wp:inline xmlns:a="http://schemas.openxmlformats.org/drawingml/2006/main" xmlns:pic="http://schemas.openxmlformats.org/drawingml/2006/picture">
            <wp:extent cx="5976000" cy="2344431"/>
            <wp:docPr id="1" name="Picture 1"/>
            <wp:cNvGraphicFramePr>
              <a:graphicFrameLocks noChangeAspect="1"/>
            </wp:cNvGraphicFramePr>
            <a:graphic>
              <a:graphicData uri="http://schemas.openxmlformats.org/drawingml/2006/picture">
                <pic:pic>
                  <pic:nvPicPr>
                    <pic:cNvPr id="0" name="winners_losers.png"/>
                    <pic:cNvPicPr/>
                  </pic:nvPicPr>
                  <pic:blipFill>
                    <a:blip r:embed="rId9"/>
                    <a:stretch>
                      <a:fillRect/>
                    </a:stretch>
                  </pic:blipFill>
                  <pic:spPr>
                    <a:xfrm>
                      <a:off x="0" y="0"/>
                      <a:ext cx="5976000" cy="2344431"/>
                    </a:xfrm>
                    <a:prstGeom prst="rect"/>
                  </pic:spPr>
                </pic:pic>
              </a:graphicData>
            </a:graphic>
          </wp:inline>
        </w:drawing>
      </w:r>
    </w:p>
    <w:p>
      <w:pPr>
        <w:spacing w:after="180"/>
      </w:pPr>
      <w:r>
        <w:rPr>
          <w:i/>
          <w:color w:val="52514E"/>
          <w:sz w:val="18"/>
        </w:rPr>
        <w:t>Figure 1. Who wins and who loses when today’s design is replaced by the min-max optimum. Both designs are scored with the preference curves of the cycle shown.</w:t>
      </w:r>
    </w:p>
    <w:p>
      <w:r>
        <w:rPr/>
        <w:t>The plots of the notebook for the three cycles are Figures 2 to 4 in section 5.</w:t>
      </w:r>
    </w:p>
    <w:p>
      <w:pPr>
        <w:pStyle w:val="Heading1"/>
      </w:pPr>
      <w:r>
        <w:t>3. Interpretation</w:t>
      </w:r>
    </w:p>
    <w:p>
      <w:r>
        <w:rPr>
          <w:b/>
        </w:rPr>
        <w:t>Scale is the robust answer.</w:t>
      </w:r>
      <w:r>
        <w:rPr/>
        <w:t xml:space="preserve"> Inside the physical limits one system removes at most about 1,300 t per year. That scores 53 out of 100 for The Ocean Cleanup and would catch about 180,000 animals. A second system is therefore the only way to lift The Ocean Cleanup from 44 to between 54 and 63. The donors stop the growth: their curve reaches zero at 60 M€ per year, about four and a half of today’s systems. In the technical and the social cycle, simply operating two of today’s systems already gives about 80 % of the improvement; retuning them gives the rest.</w:t>
      </w:r>
    </w:p>
    <w:p>
      <w:r>
        <w:rPr>
          <w:b/>
        </w:rPr>
        <w:t>Wider is better, up to the bound.</w:t>
      </w:r>
      <w:r>
        <w:rPr/>
        <w:t xml:space="preserve"> Every optimum sits at the upper spacing bound of about 1,800 m, against 1,460 m today. A wider mouth meets more plastic in proportion, while only about a tenth of the fuel use is towing work. This supports The Ocean Cleanup’s plan for wider systems. It also means that the bound, not a trade-off, sets this variable. Whether a flatter U still retains the plastic is the first thing to verify.</w:t>
      </w:r>
    </w:p>
    <w:p>
      <w:r>
        <w:rPr>
          <w:b/>
        </w:rPr>
        <w:t>Influence changes how the fleet is operated, not how big it is.</w:t>
      </w:r>
      <w:r>
        <w:rPr/>
        <w:t xml:space="preserve"> The social cycle keeps two systems. Its two changes pull in opposite directions. More weight for The Ocean Cleanup alone would raise the speed to 0.74 m/s and the bycatch by 44 %. The stricter curve of the advocates alone would halve the bycatch at 8 % less plastic. Together they give 11 % more plastic and 18 % less bycatch than the technical cycle. The lever is the mesh: going from 10 to 20 mm halves the small fish retained and costs less than 10 % of the plastic.</w:t>
      </w:r>
    </w:p>
    <w:p>
      <w:r>
        <w:rPr>
          <w:b/>
        </w:rPr>
        <w:t>Environmental priority buys a slow fleet.</w:t>
      </w:r>
      <w:r>
        <w:rPr/>
        <w:t xml:space="preserve"> Three systems at 0.29 m/s remove 53 % more plastic than today with 46 % less bycatch, 21 animals per tonne instead of 59. Animals avoid a slow barrier, and the third system buys back the plastic that each slow system misses. The price is 35.8 M€ per year, or 27 k€ per tonne instead of 15.6, and the investors fall to a score of 39.</w:t>
      </w:r>
    </w:p>
    <w:p>
      <w:r>
        <w:rPr>
          <w:b/>
        </w:rPr>
        <w:t>Winners and losers (Figure 1).</w:t>
      </w:r>
      <w:r>
        <w:rPr/>
        <w:t xml:space="preserve"> The investors lose whenever the fleet grows (86 today, then 60, 56 and 39). The Ocean Cleanup and the citizens win, and they move together: the microplastic avoided is 3 % of the plastic removed, so the two objectives depend on each other. Leaving the citizens’ objective out does not change the optimal design. The fishers never fall below 77, because a fleet closes only a few km²; in this model they are not a real party to the conflict. The advocates are the surprise. Between the technical and the social cycle their score falls from 60 to 37 although the bycatch falls by 18 %. The drop comes from their own stricter curve, and with influence-based weights min-max protects the influential stakeholders first.</w:t>
      </w:r>
    </w:p>
    <w:p>
      <w:r>
        <w:rPr>
          <w:b/>
        </w:rPr>
        <w:t>The realised design is the compromise on average.</w:t>
      </w:r>
      <w:r>
        <w:rPr/>
        <w:t xml:space="preserve"> Today’s single System 03 has a higher average satisfaction than the min-max optimum in the technical and the social cycle (70 and 67 against 65 and 62). A-fine, which rewards the average, and Tetra both choose one system in all three cycles. In the technical cycle Tetra’s design is today’s system with a wider spacing and a coarser mesh: 18 % more plastic at 3 % more cost and no more bycatch. Min-max asks a different question, namely that no stakeholder is left behind, and it rejects one system because The Ocean Cleanup stays at 44. The Ocean Cleanup’s own roadmap of 10 to 20 systems follows this second logic with a larger budget. In our model doubling the donors’ limits gives four systems.</w:t>
      </w:r>
    </w:p>
    <w:p>
      <w:pPr>
        <w:pStyle w:val="Heading1"/>
      </w:pPr>
      <w:r>
        <w:t>4. How far the conclusions hold</w:t>
      </w:r>
    </w:p>
    <w:p>
      <w:pPr>
        <w:pStyle w:val="ListBullet"/>
        <w:spacing w:after="60"/>
      </w:pPr>
      <w:r>
        <w:rPr>
          <w:b/>
        </w:rPr>
        <w:t>Constraints.</w:t>
      </w:r>
      <w:r>
        <w:rPr/>
        <w:t xml:space="preserve"> No constraint is active at an optimum; the min-max designs use at most 75 % of any limit. The design is decided by the preferences and the bounds, not by the physical limits.</w:t>
      </w:r>
    </w:p>
    <w:p>
      <w:pPr>
        <w:pStyle w:val="ListBullet"/>
        <w:spacing w:after="60"/>
      </w:pPr>
      <w:r>
        <w:rPr>
          <w:b/>
        </w:rPr>
        <w:t>Bounds.</w:t>
      </w:r>
      <w:r>
        <w:rPr/>
        <w:t xml:space="preserve"> The spacing ends at its upper bound in every cycle, and the mesh at its lower bound (technical) or upper bound (the two social cycles). The upper bounds of mesh (20 mm) and skirt depth (6 m) are our assumptions. The skirt depth is hardly determined: 3.0 to 5.5 m gives almost the same score.</w:t>
      </w:r>
    </w:p>
    <w:p>
      <w:pPr>
        <w:pStyle w:val="ListBullet"/>
        <w:spacing w:after="60"/>
      </w:pPr>
      <w:r>
        <w:rPr>
          <w:b/>
        </w:rPr>
        <w:t>Absolute tonnes are optimistic.</w:t>
      </w:r>
      <w:r>
        <w:rPr/>
        <w:t xml:space="preserve"> The model retains 71 % of the plastic that today’s design meets, against 40 % measured for System 03 (Sainte-Rose et al., 2026), and assumes year-round operation. The comparison between designs is more reliable than the tonnes themselves.</w:t>
      </w:r>
    </w:p>
    <w:p>
      <w:pPr>
        <w:pStyle w:val="ListBullet"/>
        <w:spacing w:after="60"/>
      </w:pPr>
      <w:r>
        <w:rPr>
          <w:b/>
        </w:rPr>
        <w:t>Preferences are our judgement.</w:t>
      </w:r>
      <w:r>
        <w:rPr/>
        <w:t xml:space="preserve"> The curves and both outcomes of the stakeholder game were set by us, not by the stakeholders. The fleet size follows directly from the donors’ cost curve.</w:t>
      </w:r>
    </w:p>
    <w:p>
      <w:pPr>
        <w:pStyle w:val="ListBullet"/>
        <w:spacing w:after="60"/>
      </w:pPr>
      <w:r>
        <w:rPr>
          <w:b/>
        </w:rPr>
        <w:t>Solver.</w:t>
      </w:r>
      <w:r>
        <w:rPr/>
        <w:t xml:space="preserve"> Min-max is reproducible: repeated runs give the same fleet size and almost the same scores. A-fine ends every run with the convergence warning of the genetic algorithm, because its scores are relative within a generation. We therefore use its result only qualitatively; every a-fine run chose one system.</w:t>
      </w:r>
    </w:p>
    <w:p>
      <w:pPr>
        <w:pStyle w:val="Heading1"/>
      </w:pPr>
      <w:r>
        <w:t>5. Optimisation plots</w:t>
      </w:r>
    </w:p>
    <w:p>
      <w:r>
        <w:rPr/>
        <w:t>Figures 2 to 4 are the output of the notebook for each cycle: the optimum of each aggregation method on the five preference curves, together with today’s design (red square). Figure 3 is the run stored in the notebook; Figures 2 and 4 are runs of the same notebook with the weights and preference curves of the other two cycles selected.</w:t>
      </w:r>
    </w:p>
    <w:p>
      <w:pPr>
        <w:keepNext/>
        <w:spacing w:after="40"/>
        <w:jc w:val="center"/>
      </w:pPr>
      <w:r>
        <w:drawing>
          <wp:inline xmlns:a="http://schemas.openxmlformats.org/drawingml/2006/main" xmlns:pic="http://schemas.openxmlformats.org/drawingml/2006/picture">
            <wp:extent cx="5040000" cy="3352935"/>
            <wp:docPr id="2" name="Picture 2"/>
            <wp:cNvGraphicFramePr>
              <a:graphicFrameLocks noChangeAspect="1"/>
            </wp:cNvGraphicFramePr>
            <a:graphic>
              <a:graphicData uri="http://schemas.openxmlformats.org/drawingml/2006/picture">
                <pic:pic>
                  <pic:nvPicPr>
                    <pic:cNvPr id="0" name="opt_technical_full.png"/>
                    <pic:cNvPicPr/>
                  </pic:nvPicPr>
                  <pic:blipFill>
                    <a:blip r:embed="rId10"/>
                    <a:stretch>
                      <a:fillRect/>
                    </a:stretch>
                  </pic:blipFill>
                  <pic:spPr>
                    <a:xfrm>
                      <a:off x="0" y="0"/>
                      <a:ext cx="5040000" cy="3352935"/>
                    </a:xfrm>
                    <a:prstGeom prst="rect"/>
                  </pic:spPr>
                </pic:pic>
              </a:graphicData>
            </a:graphic>
          </wp:inline>
        </w:drawing>
      </w:r>
    </w:p>
    <w:p>
      <w:pPr>
        <w:spacing w:after="180"/>
      </w:pPr>
      <w:r>
        <w:rPr>
          <w:i/>
          <w:color w:val="52514E"/>
          <w:sz w:val="18"/>
        </w:rPr>
        <w:t>Figure 2. Technical cycle (equal weights). Min-max balances four stakeholders at a score of 60 with two systems; a-fine and Tetra stay close to today’s design.</w:t>
      </w:r>
    </w:p>
    <w:p>
      <w:pPr>
        <w:keepNext/>
        <w:spacing w:after="40"/>
        <w:jc w:val="center"/>
      </w:pPr>
      <w:r>
        <w:drawing>
          <wp:inline xmlns:a="http://schemas.openxmlformats.org/drawingml/2006/main" xmlns:pic="http://schemas.openxmlformats.org/drawingml/2006/picture">
            <wp:extent cx="5040000" cy="3352935"/>
            <wp:docPr id="3" name="Picture 3"/>
            <wp:cNvGraphicFramePr>
              <a:graphicFrameLocks noChangeAspect="1"/>
            </wp:cNvGraphicFramePr>
            <a:graphic>
              <a:graphicData uri="http://schemas.openxmlformats.org/drawingml/2006/picture">
                <pic:pic>
                  <pic:nvPicPr>
                    <pic:cNvPr id="0" name="opt_social.png"/>
                    <pic:cNvPicPr/>
                  </pic:nvPicPr>
                  <pic:blipFill>
                    <a:blip r:embed="rId11"/>
                    <a:stretch>
                      <a:fillRect/>
                    </a:stretch>
                  </pic:blipFill>
                  <pic:spPr>
                    <a:xfrm>
                      <a:off x="0" y="0"/>
                      <a:ext cx="5040000" cy="3352935"/>
                    </a:xfrm>
                    <a:prstGeom prst="rect"/>
                  </pic:spPr>
                </pic:pic>
              </a:graphicData>
            </a:graphic>
          </wp:inline>
        </w:drawing>
      </w:r>
    </w:p>
    <w:p>
      <w:pPr>
        <w:spacing w:after="180"/>
      </w:pPr>
      <w:r>
        <w:rPr>
          <w:i/>
          <w:color w:val="52514E"/>
          <w:sz w:val="18"/>
        </w:rPr>
        <w:t>Figure 3. Social cycle (influence-based weights). Min-max keeps two systems but tows them faster with a coarser mesh; a-fine and Tetra stay with one system.</w:t>
      </w:r>
    </w:p>
    <w:p>
      <w:pPr>
        <w:keepNext/>
        <w:spacing w:after="40"/>
        <w:jc w:val="center"/>
      </w:pPr>
      <w:r>
        <w:drawing>
          <wp:inline xmlns:a="http://schemas.openxmlformats.org/drawingml/2006/main" xmlns:pic="http://schemas.openxmlformats.org/drawingml/2006/picture">
            <wp:extent cx="5040000" cy="3302069"/>
            <wp:docPr id="4" name="Picture 4"/>
            <wp:cNvGraphicFramePr>
              <a:graphicFrameLocks noChangeAspect="1"/>
            </wp:cNvGraphicFramePr>
            <a:graphic>
              <a:graphicData uri="http://schemas.openxmlformats.org/drawingml/2006/picture">
                <pic:pic>
                  <pic:nvPicPr>
                    <pic:cNvPr id="0" name="opt_environment_full.png"/>
                    <pic:cNvPicPr/>
                  </pic:nvPicPr>
                  <pic:blipFill>
                    <a:blip r:embed="rId12"/>
                    <a:stretch>
                      <a:fillRect/>
                    </a:stretch>
                  </pic:blipFill>
                  <pic:spPr>
                    <a:xfrm>
                      <a:off x="0" y="0"/>
                      <a:ext cx="5040000" cy="3302069"/>
                    </a:xfrm>
                    <a:prstGeom prst="rect"/>
                  </pic:spPr>
                </pic:pic>
              </a:graphicData>
            </a:graphic>
          </wp:inline>
        </w:drawing>
      </w:r>
    </w:p>
    <w:p>
      <w:pPr>
        <w:spacing w:after="180"/>
      </w:pPr>
      <w:r>
        <w:rPr>
          <w:i/>
          <w:color w:val="52514E"/>
          <w:sz w:val="18"/>
        </w:rPr>
        <w:t>Figure 4. Social cycle with environmental priority. The curve of the conservation advocates is the strictest; min-max answers with three slow systems.</w:t>
      </w:r>
    </w:p>
    <w:p>
      <w:pPr>
        <w:spacing w:before="160"/>
      </w:pPr>
      <w:r>
        <w:rPr>
          <w:color w:val="52514E"/>
          <w:sz w:val="17"/>
        </w:rPr>
        <w:t>Sainte-Rose, B., Lebreton, L., Pham, Y., Tjallema, A., &amp; Maes, C. (2026). Modelling the cleanup of the North Pacific Garbage Patch based on 3 years of operational experience. Scientific Reports, 16, 8050.</w:t>
      </w:r>
    </w:p>
    <w:sectPr w:rsidR="00FC693F" w:rsidRPr="0006063C" w:rsidSect="00034616">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Calibri" w:hAnsi="Calibri" w:eastAsia="Calibri" w:cs="Calibri"/>
      <w:b/>
      <w:bCs/>
      <w:color w:val="123B5D"/>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Calibri" w:hAnsi="Calibri" w:eastAsia="Calibri" w:cs="Calibri"/>
      <w:b/>
      <w:bCs/>
      <w:color w:val="123B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before="0"/>
      <w:contextualSpacing/>
    </w:pPr>
    <w:rPr>
      <w:rFonts w:ascii="Calibri" w:hAnsi="Calibri" w:eastAsia="Calibri" w:cs="Calibri"/>
      <w:b/>
      <w:color w:val="123B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03: what the optimisation tells us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