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AF9C" w14:textId="4725FCD9" w:rsidR="00212CF3" w:rsidRPr="009A3DB4" w:rsidRDefault="00D10EF0" w:rsidP="00F14F49">
      <w:pPr>
        <w:pStyle w:val="Title"/>
        <w:spacing w:after="360" w:line="360" w:lineRule="auto"/>
        <w:contextualSpacing w:val="0"/>
        <w:jc w:val="center"/>
        <w:rPr>
          <w:rFonts w:asciiTheme="minorHAnsi" w:hAnsiTheme="minorHAnsi" w:cstheme="minorHAnsi"/>
          <w:b/>
          <w:bCs/>
          <w:sz w:val="36"/>
        </w:rPr>
      </w:pPr>
      <w:r w:rsidRPr="009A3DB4">
        <w:rPr>
          <w:rFonts w:asciiTheme="minorHAnsi" w:hAnsiTheme="minorHAnsi" w:cstheme="minorHAnsi"/>
          <w:b/>
          <w:bCs/>
          <w:sz w:val="36"/>
        </w:rPr>
        <w:t>Dosing</w:t>
      </w:r>
      <w:r w:rsidR="00212CF3" w:rsidRPr="009A3DB4">
        <w:rPr>
          <w:rFonts w:asciiTheme="minorHAnsi" w:hAnsiTheme="minorHAnsi" w:cstheme="minorHAnsi"/>
          <w:b/>
          <w:bCs/>
          <w:sz w:val="36"/>
        </w:rPr>
        <w:t xml:space="preserve"> of intravenous </w:t>
      </w:r>
      <w:r w:rsidRPr="009A3DB4">
        <w:rPr>
          <w:rFonts w:asciiTheme="minorHAnsi" w:hAnsiTheme="minorHAnsi" w:cstheme="minorHAnsi"/>
          <w:b/>
          <w:bCs/>
          <w:sz w:val="36"/>
        </w:rPr>
        <w:t xml:space="preserve">posaconazole </w:t>
      </w:r>
      <w:r w:rsidR="00212CF3" w:rsidRPr="009A3DB4">
        <w:rPr>
          <w:rFonts w:asciiTheme="minorHAnsi" w:hAnsiTheme="minorHAnsi" w:cstheme="minorHAnsi"/>
          <w:b/>
          <w:bCs/>
          <w:sz w:val="36"/>
        </w:rPr>
        <w:t xml:space="preserve">in the intensive care </w:t>
      </w:r>
      <w:r w:rsidR="00D64BB9" w:rsidRPr="009A3DB4">
        <w:rPr>
          <w:rFonts w:asciiTheme="minorHAnsi" w:hAnsiTheme="minorHAnsi" w:cstheme="minorHAnsi"/>
          <w:b/>
          <w:bCs/>
          <w:sz w:val="36"/>
        </w:rPr>
        <w:t>unit</w:t>
      </w:r>
      <w:r w:rsidRPr="009A3DB4">
        <w:rPr>
          <w:rFonts w:asciiTheme="minorHAnsi" w:hAnsiTheme="minorHAnsi" w:cstheme="minorHAnsi"/>
          <w:b/>
          <w:bCs/>
          <w:sz w:val="36"/>
        </w:rPr>
        <w:t>:</w:t>
      </w:r>
      <w:r w:rsidRPr="009A3DB4">
        <w:rPr>
          <w:rFonts w:asciiTheme="minorHAnsi" w:hAnsiTheme="minorHAnsi" w:cstheme="minorHAnsi"/>
          <w:b/>
          <w:bCs/>
          <w:sz w:val="36"/>
        </w:rPr>
        <w:br/>
      </w:r>
      <w:r w:rsidR="00F14F49" w:rsidRPr="009A3DB4">
        <w:rPr>
          <w:rFonts w:asciiTheme="minorHAnsi" w:hAnsiTheme="minorHAnsi" w:cstheme="minorHAnsi"/>
          <w:b/>
          <w:bCs/>
          <w:sz w:val="36"/>
        </w:rPr>
        <w:t>A</w:t>
      </w:r>
      <w:r w:rsidRPr="009A3DB4">
        <w:rPr>
          <w:rFonts w:asciiTheme="minorHAnsi" w:hAnsiTheme="minorHAnsi" w:cstheme="minorHAnsi"/>
          <w:b/>
          <w:bCs/>
          <w:sz w:val="36"/>
        </w:rPr>
        <w:t xml:space="preserve"> population pharmacokinetic</w:t>
      </w:r>
      <w:r w:rsidR="00C06899" w:rsidRPr="009A3DB4">
        <w:rPr>
          <w:rFonts w:asciiTheme="minorHAnsi" w:hAnsiTheme="minorHAnsi" w:cstheme="minorHAnsi"/>
          <w:b/>
          <w:bCs/>
          <w:sz w:val="36"/>
        </w:rPr>
        <w:t>s</w:t>
      </w:r>
      <w:r w:rsidRPr="009A3DB4">
        <w:rPr>
          <w:rFonts w:asciiTheme="minorHAnsi" w:hAnsiTheme="minorHAnsi" w:cstheme="minorHAnsi"/>
          <w:b/>
          <w:bCs/>
          <w:sz w:val="36"/>
        </w:rPr>
        <w:t xml:space="preserve"> modeling and simulation study</w:t>
      </w:r>
    </w:p>
    <w:p w14:paraId="1D4A0F11" w14:textId="4FDD0370" w:rsidR="00212CF3" w:rsidRPr="009A3DB4" w:rsidRDefault="00212CF3" w:rsidP="00D64BB9">
      <w:pPr>
        <w:spacing w:line="480" w:lineRule="auto"/>
      </w:pPr>
      <w:r w:rsidRPr="009A3DB4">
        <w:t>Omar Elkayal</w:t>
      </w:r>
      <w:r w:rsidRPr="009A3DB4">
        <w:rPr>
          <w:vertAlign w:val="superscript"/>
        </w:rPr>
        <w:t>1</w:t>
      </w:r>
      <w:r w:rsidRPr="009A3DB4">
        <w:t xml:space="preserve">, </w:t>
      </w:r>
      <w:proofErr w:type="spellStart"/>
      <w:r w:rsidRPr="009A3DB4">
        <w:t>Beatrijs</w:t>
      </w:r>
      <w:proofErr w:type="spellEnd"/>
      <w:r w:rsidRPr="009A3DB4">
        <w:t xml:space="preserve"> Mertens</w:t>
      </w:r>
      <w:r w:rsidRPr="009A3DB4">
        <w:rPr>
          <w:vertAlign w:val="superscript"/>
        </w:rPr>
        <w:t>1,2</w:t>
      </w:r>
      <w:r w:rsidRPr="009A3DB4">
        <w:t>, Joost Wauters</w:t>
      </w:r>
      <w:r w:rsidRPr="009A3DB4">
        <w:rPr>
          <w:vertAlign w:val="superscript"/>
        </w:rPr>
        <w:t>3</w:t>
      </w:r>
      <w:r w:rsidR="007C7E5B" w:rsidRPr="009A3DB4">
        <w:rPr>
          <w:vertAlign w:val="superscript"/>
        </w:rPr>
        <w:t>,4</w:t>
      </w:r>
      <w:r w:rsidRPr="009A3DB4">
        <w:t xml:space="preserve">, </w:t>
      </w:r>
      <w:r w:rsidR="004B27B4" w:rsidRPr="009A3DB4">
        <w:t>Yves Debaveye</w:t>
      </w:r>
      <w:r w:rsidR="00490448" w:rsidRPr="009A3DB4">
        <w:rPr>
          <w:vertAlign w:val="superscript"/>
        </w:rPr>
        <w:t>5,6</w:t>
      </w:r>
      <w:r w:rsidR="004B27B4" w:rsidRPr="009A3DB4">
        <w:t xml:space="preserve">, </w:t>
      </w:r>
      <w:r w:rsidRPr="009A3DB4">
        <w:t>Bart Rijnders</w:t>
      </w:r>
      <w:r w:rsidR="00490448" w:rsidRPr="009A3DB4">
        <w:rPr>
          <w:vertAlign w:val="superscript"/>
        </w:rPr>
        <w:t>7</w:t>
      </w:r>
      <w:r w:rsidRPr="009A3DB4">
        <w:t>, Paul E. Verweij</w:t>
      </w:r>
      <w:r w:rsidR="00490448" w:rsidRPr="009A3DB4">
        <w:rPr>
          <w:vertAlign w:val="superscript"/>
        </w:rPr>
        <w:t>8</w:t>
      </w:r>
      <w:r w:rsidRPr="009A3DB4">
        <w:t>, Roger J</w:t>
      </w:r>
      <w:r w:rsidRPr="009A3DB4">
        <w:rPr>
          <w:rFonts w:cstheme="minorHAnsi"/>
          <w:szCs w:val="20"/>
        </w:rPr>
        <w:t>. Br</w:t>
      </w:r>
      <w:r w:rsidRPr="009A3DB4">
        <w:rPr>
          <w:rFonts w:cstheme="minorHAnsi"/>
          <w:bCs/>
          <w:szCs w:val="20"/>
        </w:rPr>
        <w:t>ü</w:t>
      </w:r>
      <w:r w:rsidRPr="009A3DB4">
        <w:rPr>
          <w:rFonts w:cstheme="minorHAnsi"/>
          <w:szCs w:val="20"/>
        </w:rPr>
        <w:t>ggemann</w:t>
      </w:r>
      <w:r w:rsidR="00490448" w:rsidRPr="009A3DB4">
        <w:rPr>
          <w:rFonts w:cstheme="minorHAnsi"/>
          <w:szCs w:val="20"/>
          <w:vertAlign w:val="superscript"/>
        </w:rPr>
        <w:t>9</w:t>
      </w:r>
      <w:r w:rsidRPr="009A3DB4">
        <w:t>, Isabel Spriet</w:t>
      </w:r>
      <w:r w:rsidRPr="009A3DB4">
        <w:rPr>
          <w:vertAlign w:val="superscript"/>
        </w:rPr>
        <w:t>1,2</w:t>
      </w:r>
      <w:r w:rsidR="00D10EF0" w:rsidRPr="009A3DB4">
        <w:t>*</w:t>
      </w:r>
      <w:r w:rsidRPr="009A3DB4">
        <w:t>, Erwin Dreesen</w:t>
      </w:r>
      <w:r w:rsidRPr="009A3DB4">
        <w:rPr>
          <w:vertAlign w:val="superscript"/>
        </w:rPr>
        <w:t>1</w:t>
      </w:r>
      <w:r w:rsidR="00D10EF0" w:rsidRPr="009A3DB4">
        <w:t>*</w:t>
      </w:r>
      <w:r w:rsidR="00CA0840" w:rsidRPr="009A3DB4">
        <w:rPr>
          <w:rFonts w:cstheme="minorHAnsi"/>
        </w:rPr>
        <w:t>ⱡ</w:t>
      </w:r>
    </w:p>
    <w:p w14:paraId="27A130BF" w14:textId="52DDED77" w:rsidR="00CA0840" w:rsidRPr="009A3DB4" w:rsidRDefault="00CA0840" w:rsidP="00D64BB9">
      <w:pPr>
        <w:spacing w:line="480" w:lineRule="auto"/>
        <w:rPr>
          <w:rFonts w:cstheme="minorHAnsi"/>
        </w:rPr>
      </w:pPr>
      <w:r w:rsidRPr="009A3DB4">
        <w:t>* Shared co-senior authorship</w:t>
      </w:r>
      <w:r w:rsidR="00F14F49" w:rsidRPr="009A3DB4">
        <w:rPr>
          <w:rFonts w:cstheme="minorHAnsi"/>
        </w:rPr>
        <w:br/>
      </w:r>
      <w:r w:rsidRPr="009A3DB4">
        <w:rPr>
          <w:rFonts w:cstheme="minorHAnsi"/>
        </w:rPr>
        <w:t xml:space="preserve">ⱡ Corresponding author. E-mail: </w:t>
      </w:r>
      <w:r w:rsidR="00C06899" w:rsidRPr="009A3DB4">
        <w:rPr>
          <w:rFonts w:cstheme="minorHAnsi"/>
        </w:rPr>
        <w:t>e</w:t>
      </w:r>
      <w:r w:rsidRPr="009A3DB4">
        <w:rPr>
          <w:rFonts w:cstheme="minorHAnsi"/>
        </w:rPr>
        <w:t>rwin.dreesen@kuleuven.be</w:t>
      </w:r>
    </w:p>
    <w:p w14:paraId="4B3EC739" w14:textId="413F9538" w:rsidR="00F14F49" w:rsidRPr="009A3DB4" w:rsidRDefault="00212CF3" w:rsidP="00F14F49">
      <w:pPr>
        <w:spacing w:after="0" w:line="480" w:lineRule="auto"/>
        <w:rPr>
          <w:vertAlign w:val="superscript"/>
        </w:rPr>
      </w:pPr>
      <w:r w:rsidRPr="009A3DB4">
        <w:rPr>
          <w:vertAlign w:val="superscript"/>
        </w:rPr>
        <w:t>1</w:t>
      </w:r>
      <w:r w:rsidRPr="009A3DB4">
        <w:t xml:space="preserve"> </w:t>
      </w:r>
      <w:r w:rsidRPr="009A3DB4">
        <w:rPr>
          <w:rFonts w:cstheme="minorHAnsi"/>
          <w:iCs/>
          <w:color w:val="000000"/>
        </w:rPr>
        <w:t>Department of Pharmaceutical and Pharmacological Sciences,</w:t>
      </w:r>
      <w:r w:rsidRPr="009A3DB4">
        <w:rPr>
          <w:rFonts w:ascii="system-ui" w:hAnsi="system-ui"/>
          <w:i/>
          <w:iCs/>
          <w:color w:val="000000"/>
          <w:sz w:val="18"/>
          <w:szCs w:val="18"/>
          <w:shd w:val="clear" w:color="auto" w:fill="F0F8FF"/>
        </w:rPr>
        <w:t xml:space="preserve"> </w:t>
      </w:r>
      <w:r w:rsidRPr="009A3DB4">
        <w:t>KU Leuven – Leuven (Belgium)</w:t>
      </w:r>
      <w:r w:rsidRPr="009A3DB4">
        <w:br/>
      </w:r>
      <w:r w:rsidRPr="009A3DB4">
        <w:rPr>
          <w:vertAlign w:val="superscript"/>
        </w:rPr>
        <w:t>2</w:t>
      </w:r>
      <w:r w:rsidRPr="009A3DB4">
        <w:t xml:space="preserve"> </w:t>
      </w:r>
      <w:r w:rsidRPr="009A3DB4">
        <w:rPr>
          <w:rFonts w:cstheme="minorHAnsi"/>
          <w:iCs/>
          <w:color w:val="000000"/>
        </w:rPr>
        <w:t>Pharmacy Department,</w:t>
      </w:r>
      <w:r w:rsidRPr="009A3DB4">
        <w:rPr>
          <w:rFonts w:ascii="system-ui" w:hAnsi="system-ui"/>
          <w:i/>
          <w:iCs/>
          <w:color w:val="000000"/>
          <w:sz w:val="18"/>
          <w:szCs w:val="18"/>
          <w:shd w:val="clear" w:color="auto" w:fill="F0F8FF"/>
        </w:rPr>
        <w:t xml:space="preserve"> </w:t>
      </w:r>
      <w:r w:rsidRPr="009A3DB4">
        <w:t>UZ Leuven – Leuven (Belgium)</w:t>
      </w:r>
      <w:r w:rsidR="00F14F49" w:rsidRPr="009A3DB4">
        <w:rPr>
          <w:vertAlign w:val="superscript"/>
        </w:rPr>
        <w:br/>
      </w:r>
      <w:r w:rsidR="00E9345F" w:rsidRPr="009A3DB4">
        <w:rPr>
          <w:vertAlign w:val="superscript"/>
        </w:rPr>
        <w:t>3</w:t>
      </w:r>
      <w:r w:rsidRPr="009A3DB4">
        <w:t xml:space="preserve"> Medical Intensive Care Unit, UZ Leuven – Leuven (Belgium)</w:t>
      </w:r>
      <w:r w:rsidR="00F14F49" w:rsidRPr="009A3DB4">
        <w:rPr>
          <w:vertAlign w:val="superscript"/>
        </w:rPr>
        <w:br/>
      </w:r>
      <w:r w:rsidR="007C7E5B" w:rsidRPr="009A3DB4">
        <w:rPr>
          <w:color w:val="000000" w:themeColor="text1"/>
          <w:vertAlign w:val="superscript"/>
        </w:rPr>
        <w:t>4</w:t>
      </w:r>
      <w:r w:rsidR="007C7E5B" w:rsidRPr="009A3DB4">
        <w:rPr>
          <w:color w:val="000000" w:themeColor="text1"/>
        </w:rPr>
        <w:t xml:space="preserve"> Laboratory </w:t>
      </w:r>
      <w:hyperlink r:id="rId8" w:history="1">
        <w:r w:rsidR="007C7E5B" w:rsidRPr="009A3DB4">
          <w:rPr>
            <w:rStyle w:val="Hyperlink"/>
            <w:color w:val="000000" w:themeColor="text1"/>
            <w:u w:val="none"/>
          </w:rPr>
          <w:t>for Clinical Infectious and Inflammatory Disorders</w:t>
        </w:r>
      </w:hyperlink>
      <w:r w:rsidR="007C7E5B" w:rsidRPr="009A3DB4">
        <w:rPr>
          <w:color w:val="000000" w:themeColor="text1"/>
        </w:rPr>
        <w:t xml:space="preserve">, </w:t>
      </w:r>
      <w:hyperlink r:id="rId9" w:history="1">
        <w:r w:rsidR="007C7E5B" w:rsidRPr="009A3DB4">
          <w:rPr>
            <w:rStyle w:val="Hyperlink"/>
            <w:color w:val="000000" w:themeColor="text1"/>
            <w:u w:val="none"/>
          </w:rPr>
          <w:t>Department of Microbiology, Immunology and Transplantation</w:t>
        </w:r>
      </w:hyperlink>
      <w:r w:rsidR="007C7E5B" w:rsidRPr="009A3DB4">
        <w:rPr>
          <w:color w:val="000000" w:themeColor="text1"/>
        </w:rPr>
        <w:t>, KU Leuven, Leuven (Belgium)</w:t>
      </w:r>
      <w:r w:rsidR="00F14F49" w:rsidRPr="009A3DB4">
        <w:rPr>
          <w:vertAlign w:val="superscript"/>
        </w:rPr>
        <w:br/>
      </w:r>
      <w:r w:rsidR="00490448" w:rsidRPr="009A3DB4">
        <w:rPr>
          <w:vertAlign w:val="superscript"/>
        </w:rPr>
        <w:t>5</w:t>
      </w:r>
      <w:r w:rsidR="00490448" w:rsidRPr="009A3DB4">
        <w:t xml:space="preserve"> </w:t>
      </w:r>
      <w:r w:rsidR="00DB2DB8" w:rsidRPr="009A3DB4">
        <w:t xml:space="preserve">Department of Cellular and Molecular Medicine, KU Leuven, Leuven </w:t>
      </w:r>
      <w:r w:rsidR="00490448" w:rsidRPr="009A3DB4">
        <w:t>(</w:t>
      </w:r>
      <w:r w:rsidR="00DB2DB8" w:rsidRPr="009A3DB4">
        <w:t>Belgium</w:t>
      </w:r>
      <w:r w:rsidR="00490448" w:rsidRPr="009A3DB4">
        <w:t>)</w:t>
      </w:r>
      <w:r w:rsidR="00F14F49" w:rsidRPr="009A3DB4">
        <w:rPr>
          <w:vertAlign w:val="superscript"/>
        </w:rPr>
        <w:br/>
      </w:r>
      <w:r w:rsidR="00490448" w:rsidRPr="009A3DB4">
        <w:rPr>
          <w:vertAlign w:val="superscript"/>
        </w:rPr>
        <w:t>6</w:t>
      </w:r>
      <w:r w:rsidR="00490448" w:rsidRPr="009A3DB4">
        <w:t xml:space="preserve"> </w:t>
      </w:r>
      <w:r w:rsidR="00DB2DB8" w:rsidRPr="009A3DB4">
        <w:t xml:space="preserve">Department of Intensive Care Medicine, University Hospitals Leuven, Leuven </w:t>
      </w:r>
      <w:r w:rsidR="00490448" w:rsidRPr="009A3DB4">
        <w:t>(</w:t>
      </w:r>
      <w:r w:rsidR="00DB2DB8" w:rsidRPr="009A3DB4">
        <w:t>Belgium</w:t>
      </w:r>
      <w:r w:rsidR="00490448" w:rsidRPr="009A3DB4">
        <w:t>)</w:t>
      </w:r>
      <w:r w:rsidR="00F14F49" w:rsidRPr="009A3DB4">
        <w:br/>
      </w:r>
      <w:r w:rsidR="00C06899" w:rsidRPr="009A3DB4">
        <w:rPr>
          <w:vertAlign w:val="superscript"/>
        </w:rPr>
        <w:t>7</w:t>
      </w:r>
      <w:r w:rsidRPr="009A3DB4">
        <w:t xml:space="preserve"> </w:t>
      </w:r>
      <w:r w:rsidRPr="009A3DB4">
        <w:rPr>
          <w:rFonts w:cstheme="minorHAnsi"/>
          <w:iCs/>
          <w:color w:val="000000"/>
          <w:szCs w:val="18"/>
        </w:rPr>
        <w:t>Department of Internal Medicine, Section of Infectious Diseases and Department of Medical Microbiology and Infectious Diseases, Erasmus University Medical Center</w:t>
      </w:r>
      <w:r w:rsidR="0056066A" w:rsidRPr="009A3DB4">
        <w:rPr>
          <w:rFonts w:cstheme="minorHAnsi"/>
          <w:iCs/>
          <w:color w:val="000000"/>
          <w:szCs w:val="18"/>
        </w:rPr>
        <w:t xml:space="preserve"> </w:t>
      </w:r>
      <w:r w:rsidRPr="009A3DB4">
        <w:t>– Rotterdam (The Netherlands)</w:t>
      </w:r>
      <w:r w:rsidR="00F14F49" w:rsidRPr="009A3DB4">
        <w:br/>
      </w:r>
      <w:r w:rsidR="00C06899" w:rsidRPr="009A3DB4">
        <w:rPr>
          <w:vertAlign w:val="superscript"/>
        </w:rPr>
        <w:t>8</w:t>
      </w:r>
      <w:r w:rsidRPr="009A3DB4">
        <w:t xml:space="preserve"> </w:t>
      </w:r>
      <w:r w:rsidRPr="009A3DB4">
        <w:rPr>
          <w:rFonts w:cstheme="minorHAnsi"/>
          <w:iCs/>
          <w:color w:val="000000"/>
          <w:szCs w:val="18"/>
        </w:rPr>
        <w:t xml:space="preserve">Department of Medical Microbiology and </w:t>
      </w:r>
      <w:proofErr w:type="spellStart"/>
      <w:r w:rsidRPr="009A3DB4">
        <w:rPr>
          <w:rFonts w:cstheme="minorHAnsi"/>
          <w:iCs/>
          <w:color w:val="000000"/>
          <w:szCs w:val="18"/>
        </w:rPr>
        <w:t>Radboudumc</w:t>
      </w:r>
      <w:proofErr w:type="spellEnd"/>
      <w:r w:rsidRPr="009A3DB4">
        <w:rPr>
          <w:rFonts w:cstheme="minorHAnsi"/>
          <w:iCs/>
          <w:color w:val="000000"/>
          <w:szCs w:val="18"/>
        </w:rPr>
        <w:t xml:space="preserve"> –</w:t>
      </w:r>
      <w:r w:rsidR="00490448" w:rsidRPr="009A3DB4">
        <w:rPr>
          <w:rFonts w:cstheme="minorHAnsi"/>
          <w:iCs/>
          <w:color w:val="000000"/>
          <w:szCs w:val="18"/>
        </w:rPr>
        <w:t xml:space="preserve"> </w:t>
      </w:r>
      <w:r w:rsidRPr="009A3DB4">
        <w:rPr>
          <w:rFonts w:cstheme="minorHAnsi"/>
          <w:iCs/>
          <w:color w:val="000000"/>
          <w:szCs w:val="18"/>
        </w:rPr>
        <w:t>CWZ Center of Expertise for Mycology, Radboud University Medical Center</w:t>
      </w:r>
      <w:r w:rsidR="0056066A" w:rsidRPr="009A3DB4">
        <w:rPr>
          <w:rFonts w:cstheme="minorHAnsi"/>
          <w:iCs/>
          <w:color w:val="000000"/>
          <w:szCs w:val="18"/>
        </w:rPr>
        <w:t xml:space="preserve"> </w:t>
      </w:r>
      <w:r w:rsidRPr="009A3DB4">
        <w:t>– Nijmegen</w:t>
      </w:r>
      <w:r w:rsidRPr="009A3DB4">
        <w:rPr>
          <w:rFonts w:eastAsia="Lato-Regular" w:cstheme="minorHAnsi"/>
          <w:szCs w:val="14"/>
        </w:rPr>
        <w:t xml:space="preserve"> (The Netherlands)</w:t>
      </w:r>
      <w:r w:rsidR="00F14F49" w:rsidRPr="009A3DB4">
        <w:br/>
      </w:r>
      <w:r w:rsidR="00C06899" w:rsidRPr="009A3DB4">
        <w:rPr>
          <w:vertAlign w:val="superscript"/>
        </w:rPr>
        <w:t>9</w:t>
      </w:r>
      <w:r w:rsidR="00E9345F" w:rsidRPr="009A3DB4">
        <w:t xml:space="preserve"> </w:t>
      </w:r>
      <w:r w:rsidR="00982679" w:rsidRPr="009A3DB4">
        <w:rPr>
          <w:rFonts w:cstheme="minorHAnsi"/>
          <w:iCs/>
          <w:color w:val="000000"/>
        </w:rPr>
        <w:t>Department of Pharmacy and Radboud Institute for Medical Innovation,</w:t>
      </w:r>
      <w:r w:rsidR="00490448" w:rsidRPr="009A3DB4">
        <w:rPr>
          <w:rFonts w:cstheme="minorHAnsi"/>
          <w:iCs/>
          <w:color w:val="000000"/>
        </w:rPr>
        <w:t xml:space="preserve"> </w:t>
      </w:r>
      <w:r w:rsidR="00E9345F" w:rsidRPr="009A3DB4">
        <w:rPr>
          <w:rFonts w:cstheme="minorHAnsi"/>
          <w:iCs/>
          <w:color w:val="000000"/>
        </w:rPr>
        <w:t xml:space="preserve">Radboud University Medical Center, Nijmegen and </w:t>
      </w:r>
      <w:proofErr w:type="spellStart"/>
      <w:r w:rsidR="00E9345F" w:rsidRPr="009A3DB4">
        <w:rPr>
          <w:rFonts w:cstheme="minorHAnsi"/>
          <w:iCs/>
          <w:color w:val="000000"/>
        </w:rPr>
        <w:t>Radboudumc</w:t>
      </w:r>
      <w:proofErr w:type="spellEnd"/>
      <w:r w:rsidR="0056066A" w:rsidRPr="009A3DB4">
        <w:rPr>
          <w:rFonts w:cstheme="minorHAnsi"/>
          <w:iCs/>
          <w:color w:val="000000"/>
        </w:rPr>
        <w:t xml:space="preserve"> – </w:t>
      </w:r>
      <w:r w:rsidR="00E9345F" w:rsidRPr="009A3DB4">
        <w:rPr>
          <w:rFonts w:cstheme="minorHAnsi"/>
          <w:iCs/>
          <w:color w:val="000000"/>
        </w:rPr>
        <w:t>CWZ Center of Expertise for Mycology, Radboud University Medical Center</w:t>
      </w:r>
      <w:r w:rsidR="00C06899" w:rsidRPr="009A3DB4">
        <w:rPr>
          <w:rFonts w:cstheme="minorHAnsi"/>
          <w:iCs/>
          <w:color w:val="000000"/>
        </w:rPr>
        <w:t xml:space="preserve"> </w:t>
      </w:r>
      <w:r w:rsidR="00E9345F" w:rsidRPr="009A3DB4">
        <w:rPr>
          <w:rFonts w:eastAsia="Lato-Regular" w:cstheme="minorHAnsi"/>
        </w:rPr>
        <w:t>– Nijmegen</w:t>
      </w:r>
      <w:r w:rsidR="00E9345F" w:rsidRPr="009A3DB4">
        <w:rPr>
          <w:rFonts w:eastAsia="Lato-Regular" w:cstheme="minorHAnsi"/>
          <w:szCs w:val="14"/>
        </w:rPr>
        <w:t xml:space="preserve"> (The Netherlands)</w:t>
      </w:r>
      <w:r w:rsidR="00F14F49" w:rsidRPr="009A3DB4">
        <w:br w:type="page"/>
      </w:r>
    </w:p>
    <w:p w14:paraId="4568F223" w14:textId="0CCF2136" w:rsidR="00031906" w:rsidRPr="009A3DB4" w:rsidRDefault="00031906" w:rsidP="00F14F49">
      <w:pPr>
        <w:spacing w:after="0" w:line="480" w:lineRule="auto"/>
        <w:rPr>
          <w:bCs/>
        </w:rPr>
      </w:pPr>
      <w:r w:rsidRPr="009A3DB4">
        <w:rPr>
          <w:bCs/>
        </w:rPr>
        <w:lastRenderedPageBreak/>
        <w:t>ORCID numbers:</w:t>
      </w:r>
      <w:r w:rsidR="00F14F49" w:rsidRPr="009A3DB4">
        <w:rPr>
          <w:bCs/>
        </w:rPr>
        <w:tab/>
      </w:r>
      <w:r w:rsidRPr="009A3DB4">
        <w:rPr>
          <w:bCs/>
        </w:rPr>
        <w:t>OK: 0000-0001-5708-9497</w:t>
      </w:r>
    </w:p>
    <w:p w14:paraId="3B849705" w14:textId="199D6A01" w:rsidR="00031906" w:rsidRPr="009A3DB4" w:rsidRDefault="00031906" w:rsidP="00F14F49">
      <w:pPr>
        <w:ind w:left="2160"/>
        <w:rPr>
          <w:bCs/>
        </w:rPr>
      </w:pPr>
      <w:r w:rsidRPr="009A3DB4">
        <w:rPr>
          <w:bCs/>
        </w:rPr>
        <w:t>BM: 0000-0002-1501-3045</w:t>
      </w:r>
    </w:p>
    <w:p w14:paraId="585767DF" w14:textId="71E0D8E0" w:rsidR="00031906" w:rsidRPr="009A3DB4" w:rsidRDefault="00031906" w:rsidP="00F14F49">
      <w:pPr>
        <w:ind w:left="2160"/>
        <w:rPr>
          <w:bCs/>
        </w:rPr>
      </w:pPr>
      <w:r w:rsidRPr="009A3DB4">
        <w:rPr>
          <w:bCs/>
        </w:rPr>
        <w:t>JW: 0000-0002-5983-3897</w:t>
      </w:r>
    </w:p>
    <w:p w14:paraId="31502253" w14:textId="26586561" w:rsidR="00C06899" w:rsidRPr="009A3DB4" w:rsidRDefault="00C06899" w:rsidP="00F14F49">
      <w:pPr>
        <w:ind w:left="2160"/>
        <w:rPr>
          <w:bCs/>
        </w:rPr>
      </w:pPr>
      <w:r w:rsidRPr="009A3DB4">
        <w:rPr>
          <w:bCs/>
        </w:rPr>
        <w:t xml:space="preserve">YD: </w:t>
      </w:r>
      <w:r w:rsidR="008F0F03" w:rsidRPr="009A3DB4">
        <w:rPr>
          <w:bCs/>
        </w:rPr>
        <w:t>0000-0003-1784-8297</w:t>
      </w:r>
    </w:p>
    <w:p w14:paraId="13BAE5ED" w14:textId="38658C3A" w:rsidR="00031906" w:rsidRPr="009A3DB4" w:rsidRDefault="00031906" w:rsidP="00F14F49">
      <w:pPr>
        <w:ind w:left="2160"/>
        <w:rPr>
          <w:bCs/>
        </w:rPr>
      </w:pPr>
      <w:r w:rsidRPr="009A3DB4">
        <w:rPr>
          <w:bCs/>
        </w:rPr>
        <w:t>BR: 0000-0003-3343-9610</w:t>
      </w:r>
    </w:p>
    <w:p w14:paraId="729B4818" w14:textId="6F8FF7BC" w:rsidR="00031906" w:rsidRPr="009A3DB4" w:rsidRDefault="00031906" w:rsidP="00F14F49">
      <w:pPr>
        <w:ind w:left="2160"/>
        <w:rPr>
          <w:bCs/>
        </w:rPr>
      </w:pPr>
      <w:r w:rsidRPr="009A3DB4">
        <w:rPr>
          <w:bCs/>
        </w:rPr>
        <w:t>PV: 0000-0002-8600-9860</w:t>
      </w:r>
    </w:p>
    <w:p w14:paraId="017102A8" w14:textId="6751A400" w:rsidR="00031906" w:rsidRPr="009A3DB4" w:rsidRDefault="00031906" w:rsidP="00F14F49">
      <w:pPr>
        <w:ind w:left="2160"/>
        <w:rPr>
          <w:bCs/>
        </w:rPr>
      </w:pPr>
      <w:r w:rsidRPr="009A3DB4">
        <w:rPr>
          <w:bCs/>
        </w:rPr>
        <w:t>RB: 0000-0002-7618-725X</w:t>
      </w:r>
    </w:p>
    <w:p w14:paraId="5D34DCAE" w14:textId="56ED3564" w:rsidR="00031906" w:rsidRPr="009A3DB4" w:rsidRDefault="00031906" w:rsidP="00F14F49">
      <w:pPr>
        <w:ind w:left="2160"/>
        <w:rPr>
          <w:bCs/>
        </w:rPr>
      </w:pPr>
      <w:r w:rsidRPr="009A3DB4">
        <w:rPr>
          <w:bCs/>
        </w:rPr>
        <w:t>IS: 0000-0001-6342-0676</w:t>
      </w:r>
    </w:p>
    <w:p w14:paraId="047DDDB4" w14:textId="77777777" w:rsidR="00CC3E6D" w:rsidRPr="009A3DB4" w:rsidRDefault="00031906" w:rsidP="00F14F49">
      <w:pPr>
        <w:ind w:left="2160"/>
        <w:rPr>
          <w:bCs/>
        </w:rPr>
      </w:pPr>
      <w:r w:rsidRPr="009A3DB4">
        <w:rPr>
          <w:bCs/>
        </w:rPr>
        <w:t>ED:</w:t>
      </w:r>
      <w:r w:rsidRPr="009A3DB4">
        <w:t xml:space="preserve"> </w:t>
      </w:r>
      <w:r w:rsidRPr="009A3DB4">
        <w:rPr>
          <w:bCs/>
        </w:rPr>
        <w:t>0000-0002-0785-2930</w:t>
      </w:r>
    </w:p>
    <w:p w14:paraId="7F1A2665" w14:textId="0A49EF89" w:rsidR="00CC3E6D" w:rsidRPr="009A3DB4" w:rsidRDefault="00CC3E6D" w:rsidP="00F14F49">
      <w:pPr>
        <w:pStyle w:val="Heading1"/>
      </w:pPr>
      <w:r w:rsidRPr="009A3DB4">
        <w:t>List of abbreviations</w:t>
      </w:r>
    </w:p>
    <w:p w14:paraId="33B515B8" w14:textId="6EACF2D5" w:rsidR="00A65088" w:rsidRPr="009A3DB4" w:rsidRDefault="00CC3E6D" w:rsidP="00CC3E6D">
      <w:pPr>
        <w:spacing w:line="480" w:lineRule="auto"/>
      </w:pPr>
      <w:r w:rsidRPr="009A3DB4">
        <w:t>AUC</w:t>
      </w:r>
      <w:r w:rsidRPr="009A3DB4">
        <w:rPr>
          <w:vertAlign w:val="subscript"/>
        </w:rPr>
        <w:t>0-24</w:t>
      </w:r>
      <w:r w:rsidRPr="009A3DB4">
        <w:t xml:space="preserve">: area under the concentration-time curve for 24 hours; FOCE-I: first-order conditional estimation with interaction; CAPA: COVID-19 associated pulmonary aspergillosis; </w:t>
      </w:r>
      <w:proofErr w:type="spellStart"/>
      <w:r w:rsidRPr="009A3DB4">
        <w:t>C</w:t>
      </w:r>
      <w:r w:rsidRPr="009A3DB4">
        <w:rPr>
          <w:vertAlign w:val="subscript"/>
        </w:rPr>
        <w:t>min</w:t>
      </w:r>
      <w:proofErr w:type="spellEnd"/>
      <w:r w:rsidRPr="009A3DB4">
        <w:t>: trough concentration; CL: clearance; COVID-19: coronavirus disease 2019; IAPA: influenza-associated pulmonary aspergillosis; ICU: Intensive Care Unit; IIV: interindividual variability; IPA: invasive pulmonary aspergillosis; IV: intravenous; MIC: minimal inhibitory concentration; PK: pharmacokinetics; PKPD: pharmacokinetic-pharmacodynamic; PopPK: population pharmacokinetics; PTA: probability of target attainment; Q12h: every 12 hours; Q24h: every 24 hours; Q8h: every 8 hours; ROC: receiver operating characteristics;</w:t>
      </w:r>
      <w:r w:rsidR="00D248F5">
        <w:t xml:space="preserve"> </w:t>
      </w:r>
      <w:r w:rsidRPr="009A3DB4">
        <w:t>TDM: therapeutic drug monitoring; V</w:t>
      </w:r>
      <w:r w:rsidRPr="009A3DB4">
        <w:rPr>
          <w:vertAlign w:val="subscript"/>
        </w:rPr>
        <w:t>c</w:t>
      </w:r>
      <w:r w:rsidRPr="009A3DB4">
        <w:t>: central volume of distribution; V</w:t>
      </w:r>
      <w:r w:rsidRPr="009A3DB4">
        <w:rPr>
          <w:vertAlign w:val="subscript"/>
        </w:rPr>
        <w:t>p</w:t>
      </w:r>
      <w:r w:rsidRPr="009A3DB4">
        <w:t>: peripheral volume of distribution.</w:t>
      </w:r>
      <w:r w:rsidR="00A65088" w:rsidRPr="009A3DB4">
        <w:br w:type="page"/>
      </w:r>
    </w:p>
    <w:p w14:paraId="2917B34C" w14:textId="1A14C47B" w:rsidR="005A4033" w:rsidRPr="009A3DB4" w:rsidRDefault="00984F50" w:rsidP="00F14F49">
      <w:pPr>
        <w:pStyle w:val="Heading1"/>
      </w:pPr>
      <w:r w:rsidRPr="009A3DB4">
        <w:lastRenderedPageBreak/>
        <w:t>Abstract</w:t>
      </w:r>
    </w:p>
    <w:p w14:paraId="60BBE8F6" w14:textId="77777777" w:rsidR="0081097E" w:rsidRPr="009A3DB4" w:rsidRDefault="0081097E" w:rsidP="0081097E">
      <w:pPr>
        <w:spacing w:after="0" w:line="480" w:lineRule="auto"/>
      </w:pPr>
      <w:r w:rsidRPr="009A3DB4">
        <w:rPr>
          <w:b/>
          <w:bCs/>
        </w:rPr>
        <w:t>Introduction </w:t>
      </w:r>
      <w:r w:rsidRPr="009A3DB4">
        <w:t>Posaconazole is used for the prophylaxis and treatment of invasive fungal infections in critically ill patients. Standard dosing was shown to result in adequate attainment of the prophylaxis trough concentration (</w:t>
      </w:r>
      <w:proofErr w:type="spellStart"/>
      <w:r w:rsidRPr="009A3DB4">
        <w:t>C</w:t>
      </w:r>
      <w:r w:rsidRPr="009A3DB4">
        <w:rPr>
          <w:vertAlign w:val="subscript"/>
        </w:rPr>
        <w:t>min</w:t>
      </w:r>
      <w:proofErr w:type="spellEnd"/>
      <w:r w:rsidRPr="009A3DB4">
        <w:t xml:space="preserve">) target (0.7 mg/L) but not of the treatment </w:t>
      </w:r>
      <w:proofErr w:type="spellStart"/>
      <w:r w:rsidRPr="009A3DB4">
        <w:t>C</w:t>
      </w:r>
      <w:r w:rsidRPr="009A3DB4">
        <w:rPr>
          <w:vertAlign w:val="subscript"/>
        </w:rPr>
        <w:t>min</w:t>
      </w:r>
      <w:proofErr w:type="spellEnd"/>
      <w:r w:rsidRPr="009A3DB4">
        <w:t xml:space="preserve"> target (1.0 mg/L). We aimed to provide an optimized posaconazole dosing regimen for intravenous (IV) treatment of patients with invasive pulmonary aspergillosis in the ICU.</w:t>
      </w:r>
    </w:p>
    <w:p w14:paraId="45C0511B" w14:textId="7D13193B" w:rsidR="0081097E" w:rsidRPr="009A3DB4" w:rsidRDefault="0081097E" w:rsidP="0081097E">
      <w:pPr>
        <w:spacing w:after="0" w:line="480" w:lineRule="auto"/>
      </w:pPr>
      <w:r w:rsidRPr="009A3DB4">
        <w:rPr>
          <w:b/>
          <w:bCs/>
        </w:rPr>
        <w:t>Patients and methods</w:t>
      </w:r>
      <w:r w:rsidRPr="009A3DB4">
        <w:t xml:space="preserve"> A population pharmacokinetics (popPK) model was developed using data from the POSA-FLU PK sub-study (NCT03378479). Monte Carlo simulations were performed to assess treatment </w:t>
      </w:r>
      <w:proofErr w:type="spellStart"/>
      <w:r w:rsidRPr="009A3DB4">
        <w:t>C</w:t>
      </w:r>
      <w:r w:rsidRPr="009A3DB4">
        <w:rPr>
          <w:vertAlign w:val="subscript"/>
        </w:rPr>
        <w:t>min</w:t>
      </w:r>
      <w:proofErr w:type="spellEnd"/>
      <w:r w:rsidRPr="009A3DB4">
        <w:t xml:space="preserve"> probability of target attainment (PTA). PTA ≥90% was deemed clinically acceptable. PopPK modeling and simulation were performed using NONMEM 7.5.</w:t>
      </w:r>
    </w:p>
    <w:p w14:paraId="19DD8262" w14:textId="77777777" w:rsidR="0081097E" w:rsidRPr="009A3DB4" w:rsidRDefault="0081097E" w:rsidP="0081097E">
      <w:pPr>
        <w:spacing w:after="0" w:line="480" w:lineRule="auto"/>
      </w:pPr>
      <w:r w:rsidRPr="009A3DB4">
        <w:rPr>
          <w:b/>
          <w:bCs/>
        </w:rPr>
        <w:t>Results</w:t>
      </w:r>
      <w:r w:rsidRPr="009A3DB4">
        <w:t> Thirty-one patients with intensive PK sampling were included in the PK sub-study, contributing 532 posaconazole plasma concentrations. The popPK of IV posaconazole was best described by a two-compartment popPK model with linear elimination. Interindividual variability was estimated on clearance and volume of distribution in central and peripheral compartments. The posaconazole peripheral volume of distribution increased with bodyweight.</w:t>
      </w:r>
      <w:r w:rsidRPr="009A3DB4">
        <w:br/>
        <w:t>An optimized loading regimen of 300 mg every 12 hours (q12h) and 300 mg q8h in the first two treatment days resulted in acceptable PTA by day 3 in patients &lt;100 kg and ≥100 kg, respectively. A maintenance regimen of 400 mg q24h assured ≥90% PTA throughout 14 days, irrespective of bodyweight.</w:t>
      </w:r>
    </w:p>
    <w:p w14:paraId="27E1CEE8" w14:textId="77777777" w:rsidR="0081097E" w:rsidRPr="009A3DB4" w:rsidRDefault="0081097E" w:rsidP="0081097E">
      <w:pPr>
        <w:spacing w:after="0" w:line="480" w:lineRule="auto"/>
      </w:pPr>
      <w:r w:rsidRPr="009A3DB4">
        <w:rPr>
          <w:b/>
          <w:bCs/>
        </w:rPr>
        <w:t>Conclusions</w:t>
      </w:r>
      <w:r w:rsidRPr="009A3DB4">
        <w:t xml:space="preserve"> We have defined a convenient, optimized IV posaconazole dosing regimen that guarantees acceptable treatment </w:t>
      </w:r>
      <w:proofErr w:type="spellStart"/>
      <w:r w:rsidRPr="009A3DB4">
        <w:t>C</w:t>
      </w:r>
      <w:r w:rsidRPr="009A3DB4">
        <w:rPr>
          <w:vertAlign w:val="subscript"/>
        </w:rPr>
        <w:t>min</w:t>
      </w:r>
      <w:proofErr w:type="spellEnd"/>
      <w:r w:rsidRPr="009A3DB4">
        <w:t xml:space="preserve"> PTA in critically ill patients with invasive aspergillosis.</w:t>
      </w:r>
    </w:p>
    <w:p w14:paraId="41E5705F" w14:textId="28C87664" w:rsidR="00301FB1" w:rsidRPr="009A3DB4" w:rsidRDefault="0046220A" w:rsidP="0081097E">
      <w:pPr>
        <w:spacing w:line="480" w:lineRule="auto"/>
      </w:pPr>
      <w:r w:rsidRPr="009A3DB4">
        <w:rPr>
          <w:rFonts w:cstheme="minorHAnsi"/>
          <w:b/>
        </w:rPr>
        <w:t xml:space="preserve">Keywords </w:t>
      </w:r>
      <w:r w:rsidRPr="009A3DB4">
        <w:rPr>
          <w:rFonts w:cstheme="minorHAnsi"/>
          <w:bCs/>
        </w:rPr>
        <w:t>Intravenous posaconazole, critically ill</w:t>
      </w:r>
      <w:r w:rsidR="00A44E8D">
        <w:rPr>
          <w:rFonts w:cstheme="minorHAnsi"/>
          <w:bCs/>
        </w:rPr>
        <w:t xml:space="preserve"> patients, invasive aspergillosis</w:t>
      </w:r>
      <w:r w:rsidRPr="009A3DB4">
        <w:rPr>
          <w:rFonts w:cstheme="minorHAnsi"/>
          <w:bCs/>
        </w:rPr>
        <w:t xml:space="preserve">, antifungal, population pharmacokinetics, </w:t>
      </w:r>
      <w:r w:rsidR="00A44E8D">
        <w:rPr>
          <w:rFonts w:cstheme="minorHAnsi"/>
          <w:bCs/>
        </w:rPr>
        <w:t xml:space="preserve">modeling and </w:t>
      </w:r>
      <w:r w:rsidRPr="009A3DB4">
        <w:rPr>
          <w:rFonts w:cstheme="minorHAnsi"/>
          <w:bCs/>
        </w:rPr>
        <w:t xml:space="preserve">simulation, </w:t>
      </w:r>
      <w:r w:rsidR="00A44E8D">
        <w:rPr>
          <w:rFonts w:cstheme="minorHAnsi"/>
          <w:bCs/>
        </w:rPr>
        <w:t>dose optimization</w:t>
      </w:r>
      <w:r w:rsidR="005A4033" w:rsidRPr="009A3DB4">
        <w:rPr>
          <w:b/>
          <w:sz w:val="36"/>
        </w:rPr>
        <w:br w:type="page"/>
      </w:r>
    </w:p>
    <w:p w14:paraId="158B7726" w14:textId="36E87CA0" w:rsidR="00212CF3" w:rsidRPr="009A3DB4" w:rsidRDefault="00010181" w:rsidP="00F14F49">
      <w:pPr>
        <w:pStyle w:val="Heading1"/>
        <w:numPr>
          <w:ilvl w:val="0"/>
          <w:numId w:val="19"/>
        </w:numPr>
      </w:pPr>
      <w:r w:rsidRPr="009A3DB4">
        <w:lastRenderedPageBreak/>
        <w:t>Introduction</w:t>
      </w:r>
    </w:p>
    <w:p w14:paraId="5B1452F2" w14:textId="225F3C25" w:rsidR="00E31FDC" w:rsidRPr="009A3DB4" w:rsidRDefault="00E31FDC" w:rsidP="00E31FDC">
      <w:pPr>
        <w:spacing w:line="480" w:lineRule="auto"/>
        <w:jc w:val="both"/>
        <w:rPr>
          <w:rFonts w:cstheme="minorHAnsi"/>
          <w:color w:val="000000"/>
        </w:rPr>
      </w:pPr>
      <w:r w:rsidRPr="009A3DB4">
        <w:rPr>
          <w:rFonts w:cstheme="minorHAnsi"/>
          <w:color w:val="000000"/>
        </w:rPr>
        <w:t>Invasive pulmonary aspergillosis (IPA) is commonly observed in immunocompromised patients, such as neutropenic patients or h</w:t>
      </w:r>
      <w:r w:rsidR="00E254BD" w:rsidRPr="009A3DB4">
        <w:rPr>
          <w:rFonts w:cstheme="minorHAnsi"/>
          <w:color w:val="000000"/>
        </w:rPr>
        <w:t>e</w:t>
      </w:r>
      <w:r w:rsidRPr="009A3DB4">
        <w:rPr>
          <w:rFonts w:cstheme="minorHAnsi"/>
          <w:color w:val="000000"/>
        </w:rPr>
        <w:t>matopoietic stem cell recipients. However, it was shown that patients in the intensive care unit (ICU) admitted with severe influenza and coronavirus disease 2019 (COVID-19)</w:t>
      </w:r>
      <w:r w:rsidR="00F14F49" w:rsidRPr="009A3DB4">
        <w:rPr>
          <w:rFonts w:cstheme="minorHAnsi"/>
          <w:color w:val="000000"/>
        </w:rPr>
        <w:t xml:space="preserve"> </w:t>
      </w:r>
      <w:r w:rsidRPr="009A3DB4">
        <w:rPr>
          <w:rFonts w:cstheme="minorHAnsi"/>
          <w:color w:val="000000"/>
        </w:rPr>
        <w:t xml:space="preserve">also have a high risk of developing IPA </w:t>
      </w:r>
      <w:r w:rsidRPr="009A3DB4">
        <w:rPr>
          <w:rFonts w:cstheme="minorHAnsi"/>
          <w:color w:val="000000"/>
        </w:rPr>
        <w:fldChar w:fldCharType="begin"/>
      </w:r>
      <w:r w:rsidR="008322B1" w:rsidRPr="009A3DB4">
        <w:rPr>
          <w:rFonts w:cstheme="minorHAnsi"/>
          <w:color w:val="000000"/>
        </w:rPr>
        <w:instrText xml:space="preserve"> ADDIN ZOTERO_ITEM CSL_CITATION {"citationID":"RqyYbeBg","properties":{"formattedCitation":"[1]","plainCitation":"[1]","noteIndex":0},"citationItems":[{"id":399,"uris":["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http://zotero.org/users/7911495/items/MACGTI22"]]]]]]],"itemData":{"id":399,"type":"article-journal","abstract":"BACKGROUND: Invasive pulmonary aspergillosis typically occurs in an immunocompromised host. For almost a century, influenza has been known to set up for bacterial superinfections, but recently patients with severe influenza were also reported to develop invasive pulmonary aspergillosis. We aimed to measure the incidence of invasive pulmonary aspergillosis over several seasons in patients with influenza pneumonia in the intensive care unit (ICU) and to assess whether influenza was an independent risk factor for invasive pulmonary aspergillosis.\nMETHODS: We did a retrospective multicentre cohort study. Data were collected from adult patients with severe influenza admitted to seven ICUs across Belgium and The Netherlands during seven influenza seasons. Patients were older than 18 years, were admitted to the ICU for more than 24 h with acute respiratory failure, had pulmonary infiltrates on imaging, and a confirmed influenza infection based on a positive airway PCR test (influenza cohort). We used logistic regression analyses to determine if influenza was independently associated with invasive pulmonary aspergillosis in non-immunocompromised (ie, no European Organization for Research and Treatment of Cancer/Invasive Fungal Infections Cooperative Group and the National Institute of Allergy and Infectious Diseases Mycoses Study Group [EORTC/MSG] host factor) influenza-positive patients (influenza case group) compared with non-immunocompromised patients with severe community-acquired pneumonia who had a negative airway influenza PCR test (control group).\nFINDINGS: Data were collected from patients admitted to the ICU between Jan 1, 2009, and June 30, 2016. Invasive pulmonary aspergillosis was diagnosed in 83 (19%) of 432 patients admitted with influenza (influenza cohort), a median of 3 days after admission to the ICU. The incidence was similar for influenza A and B. For patients with influenza who were immunocompromised, incidence of invasive pulmonary aspergillosis was as high as 32% (38 of 117 patients), whereas in the non-immunocompromised influenza case group, incidence was 14% (45 of 315 patients). Conversely, only 16 (5%) of 315 patients in the control group developed invasive pulmonary aspergillosis. The 90-day mortality was 51% in patients in the influenza cohort with invasive pulmonary aspergillosis and 28% in the influenza cohort without invasive pulmonary aspergillosis (p=0·0001). In this study, influenza was found to be independently associated with invasive pulmonary aspergillosis (adjusted odds ratio 5·19; 95% CI 2·63-10·26; p&lt;0·0001), along with a higher APACHE II score, male sex, and use of corticosteroids.\nINTERPRETATION: Influenza was identified as an independent risk factor for invasive pulmonary aspergillosis and is associated with high mortality. Future studies should assess whether a faster diagnosis or antifungal prophylaxis could improve the outcome of influenza-associated aspergillosis.\nFUNDING: None.","container-title":"The Lancet. Respiratory Medicine","DOI":"10.1016/S2213-2600(18)30274-1","ISSN":"2213-2619","issue":"10","journalAbbreviation":"Lancet Respir Med","language":"eng","note":"PMID: 30076119","page":"782-792","source":"PubMed","title":"Invasive aspergillosis in patients admitted to the intensive care unit with severe influenza: a retrospective cohort study","title-short":"Invasive aspergillosis in patients admitted to the intensive care unit with severe influenza","volume":"6","author":[{"family":"Schauwvlieghe","given":"Alexander F. A. D."},{"family":"Rijnders","given":"Bart J. A."},{"family":"Philips","given":"Nele"},{"family":"Verwijs","given":"Rosanne"},{"family":"Vanderbeke","given":"Lore"},{"family":"Van Tienen","given":"Carla"},{"family":"Lagrou","given":"Katrien"},{"family":"Verweij","given":"Paul E."},{"family":"Van de Veerdonk","given":"Frank L."},{"family":"Gommers","given":"Diederik"},{"family":"Spronk","given":"Peter"},{"family":"Bergmans","given":"Dennis C. J. J."},{"family":"Hoedemaekers","given":"Astrid"},{"family":"Andrinopoulou","given":"Eleni-Rosalina"},{"family":"Berg","given":"Charlotte H. S. B.","non-dropping-particle":"van den"},{"family":"Juffermans","given":"Nicole P."},{"family":"Hodiamont","given":"Casper J."},{"family":"Vonk","given":"Alieke G."},{"family":"Depuydt","given":"Pieter"},{"family":"Boelens","given":"Jerina"},{"family":"Wauters","given":"Joost"},{"literal":"Dutch-Belgian Mycosis study group"}],"issued":{"date-parts":[["2018",10]]}}}],"schema":"https://github.com/citation-style-language/schema/raw/master/csl-citation.json"} </w:instrText>
      </w:r>
      <w:r w:rsidRPr="009A3DB4">
        <w:rPr>
          <w:rFonts w:cstheme="minorHAnsi"/>
          <w:color w:val="000000"/>
        </w:rPr>
        <w:fldChar w:fldCharType="separate"/>
      </w:r>
      <w:r w:rsidR="0027030F">
        <w:rPr>
          <w:rFonts w:ascii="Calibri" w:cs="Calibri"/>
        </w:rPr>
        <w:t>[1]</w:t>
      </w:r>
      <w:r w:rsidRPr="009A3DB4">
        <w:rPr>
          <w:rFonts w:cstheme="minorHAnsi"/>
          <w:color w:val="000000"/>
        </w:rPr>
        <w:fldChar w:fldCharType="end"/>
      </w:r>
      <w:r w:rsidRPr="009A3DB4">
        <w:rPr>
          <w:rFonts w:cstheme="minorHAnsi"/>
          <w:color w:val="000000"/>
        </w:rPr>
        <w:t>.</w:t>
      </w:r>
      <w:r w:rsidR="00C82A21" w:rsidRPr="009A3DB4">
        <w:rPr>
          <w:rFonts w:cstheme="minorHAnsi"/>
          <w:color w:val="000000"/>
        </w:rPr>
        <w:t xml:space="preserve"> </w:t>
      </w:r>
      <w:r w:rsidR="00DF1A24" w:rsidRPr="009A3DB4">
        <w:rPr>
          <w:rFonts w:cstheme="minorHAnsi"/>
          <w:color w:val="000000"/>
        </w:rPr>
        <w:t>The i</w:t>
      </w:r>
      <w:r w:rsidRPr="009A3DB4">
        <w:rPr>
          <w:rFonts w:cstheme="minorHAnsi"/>
          <w:color w:val="000000"/>
        </w:rPr>
        <w:t>ncidence of this</w:t>
      </w:r>
      <w:r w:rsidR="002B1F87" w:rsidRPr="009A3DB4">
        <w:rPr>
          <w:rFonts w:cstheme="minorHAnsi"/>
          <w:color w:val="000000"/>
        </w:rPr>
        <w:t xml:space="preserve"> fungal-viral co-infection </w:t>
      </w:r>
      <w:r w:rsidRPr="009A3DB4">
        <w:rPr>
          <w:rFonts w:cstheme="minorHAnsi"/>
          <w:color w:val="000000"/>
        </w:rPr>
        <w:t>ha</w:t>
      </w:r>
      <w:r w:rsidR="00DF1A24" w:rsidRPr="009A3DB4">
        <w:rPr>
          <w:rFonts w:cstheme="minorHAnsi"/>
          <w:color w:val="000000"/>
        </w:rPr>
        <w:t>s</w:t>
      </w:r>
      <w:r w:rsidRPr="009A3DB4">
        <w:rPr>
          <w:rFonts w:cstheme="minorHAnsi"/>
          <w:color w:val="000000"/>
        </w:rPr>
        <w:t xml:space="preserve"> been reported</w:t>
      </w:r>
      <w:r w:rsidR="002B1F87" w:rsidRPr="009A3DB4">
        <w:rPr>
          <w:rFonts w:cstheme="minorHAnsi"/>
          <w:color w:val="000000"/>
        </w:rPr>
        <w:t xml:space="preserve"> in critically ill patients</w:t>
      </w:r>
      <w:r w:rsidRPr="009A3DB4">
        <w:rPr>
          <w:rFonts w:cstheme="minorHAnsi"/>
          <w:color w:val="000000"/>
        </w:rPr>
        <w:t xml:space="preserve"> up to 20% for influenza-associated </w:t>
      </w:r>
      <w:r w:rsidR="00E9345F" w:rsidRPr="009A3DB4">
        <w:rPr>
          <w:rFonts w:cstheme="minorHAnsi"/>
          <w:color w:val="000000"/>
        </w:rPr>
        <w:t xml:space="preserve">pulmonary </w:t>
      </w:r>
      <w:r w:rsidRPr="009A3DB4">
        <w:rPr>
          <w:rFonts w:cstheme="minorHAnsi"/>
          <w:color w:val="000000"/>
        </w:rPr>
        <w:t xml:space="preserve">aspergillosis (IAPA) and 15% for </w:t>
      </w:r>
      <w:r w:rsidR="00F14F49" w:rsidRPr="009A3DB4">
        <w:rPr>
          <w:rFonts w:cstheme="minorHAnsi"/>
          <w:color w:val="000000"/>
        </w:rPr>
        <w:t>COVID-19-associated</w:t>
      </w:r>
      <w:r w:rsidRPr="009A3DB4">
        <w:rPr>
          <w:rFonts w:cstheme="minorHAnsi"/>
          <w:color w:val="000000"/>
        </w:rPr>
        <w:t xml:space="preserve"> </w:t>
      </w:r>
      <w:r w:rsidR="00E9345F" w:rsidRPr="009A3DB4">
        <w:rPr>
          <w:rFonts w:cstheme="minorHAnsi"/>
          <w:color w:val="000000"/>
        </w:rPr>
        <w:t xml:space="preserve">pulmonary </w:t>
      </w:r>
      <w:r w:rsidRPr="009A3DB4">
        <w:rPr>
          <w:rFonts w:cstheme="minorHAnsi"/>
          <w:color w:val="000000"/>
        </w:rPr>
        <w:t xml:space="preserve">aspergillosis (CAPA). </w:t>
      </w:r>
      <w:r w:rsidR="00C82A21" w:rsidRPr="009A3DB4">
        <w:rPr>
          <w:rFonts w:cstheme="minorHAnsi"/>
          <w:color w:val="000000"/>
        </w:rPr>
        <w:t>The a</w:t>
      </w:r>
      <w:r w:rsidRPr="009A3DB4">
        <w:rPr>
          <w:rFonts w:cstheme="minorHAnsi"/>
          <w:color w:val="000000"/>
        </w:rPr>
        <w:t>ssociated mortality rates are</w:t>
      </w:r>
      <w:r w:rsidR="00C82A21" w:rsidRPr="009A3DB4">
        <w:rPr>
          <w:rFonts w:cstheme="minorHAnsi"/>
          <w:color w:val="000000"/>
        </w:rPr>
        <w:t xml:space="preserve"> as</w:t>
      </w:r>
      <w:r w:rsidRPr="009A3DB4">
        <w:rPr>
          <w:rFonts w:cstheme="minorHAnsi"/>
          <w:color w:val="000000"/>
        </w:rPr>
        <w:t xml:space="preserve"> high</w:t>
      </w:r>
      <w:r w:rsidR="00C82A21" w:rsidRPr="009A3DB4">
        <w:rPr>
          <w:rFonts w:cstheme="minorHAnsi"/>
          <w:color w:val="000000"/>
        </w:rPr>
        <w:t xml:space="preserve"> as </w:t>
      </w:r>
      <w:r w:rsidRPr="009A3DB4">
        <w:rPr>
          <w:rFonts w:cstheme="minorHAnsi"/>
          <w:color w:val="000000"/>
        </w:rPr>
        <w:t>50%</w:t>
      </w:r>
      <w:r w:rsidR="00FD0A0A" w:rsidRPr="009A3DB4">
        <w:rPr>
          <w:rFonts w:cstheme="minorHAnsi"/>
          <w:color w:val="000000"/>
        </w:rPr>
        <w:t xml:space="preserve"> </w:t>
      </w:r>
      <w:r w:rsidR="00FD0A0A" w:rsidRPr="009A3DB4">
        <w:rPr>
          <w:rFonts w:cstheme="minorHAnsi"/>
          <w:color w:val="000000"/>
        </w:rPr>
        <w:fldChar w:fldCharType="begin"/>
      </w:r>
      <w:r w:rsidR="008322B1" w:rsidRPr="009A3DB4">
        <w:rPr>
          <w:rFonts w:cstheme="minorHAnsi"/>
          <w:color w:val="000000"/>
        </w:rPr>
        <w:instrText xml:space="preserve"> ADDIN ZOTERO_ITEM CSL_CITATION {"citationID":"oT9zVjo3","properties":{"formattedCitation":"[2]","plainCitation":"[2]","noteIndex":0},"citationItems":[{"id":14395,"uris":["http://zotero.org/users/7911495/items/99XCXJC5",["http://zotero.org/users/7911495/items/99XCXJC5"],["http://zotero.org/users/7911495/items/99XCXJC5",["http://zotero.org/users/7911495/items/99XCXJC5"]]],"itemData":{"id":14395,"type":"article-journal","abstract":"Coronavirus disease 19 (COVID-19)-associated pulmonary aspergillosis (CAPA) is a severe fungal infection complicating critically ill COVID-19 patients. Numerous retrospective and prospective studies have been performed to get a better grasp on this lethal co-infection. We performed a qualitative review and summarized data from 48 studies in which 7047 patients had been included, of whom 820 had CAPA. The pooled incidence of proven, probable or putative CAPA was 15.1% among 2953 ICU-admitted COVID-19 patients included in 18 prospective studies. Incidences showed great variability due to multiple factors such as discrepancies in the rate and depth of the fungal work-up. The pathophysiology and risk factors for CAPA are ill-defined, but therapy with corticosteroids and anti-interleukin-6 therapy potentially confer the biggest risk. Sampling for mycological work-up using bronchoscopy is the cornerstone for diagnosis, as imaging is often aspecific. CAPA is associated with an increased mortality, but we do not have conclusive data whether therapy contributes to an increased survival in these patients. We conclude our review with a comparison between influenza-associated pulmonary aspergillosis (IAPA) and CAPA.","container-title":"Journal of Fungi","DOI":"10.3390/jof7121067","ISSN":"2309-608X","issue":"12","language":"en","license":"http://creativecommons.org/licenses/by/3.0/","note":"number: 12\npublisher: Multidisciplinary Digital Publishing Institute","page":"1067","source":"www.mdpi.com","title":"A Visual and Comprehensive Review on COVID-19-Associated Pulmonary Aspergillosis (CAPA)","volume":"7","author":[{"family":"Feys","given":"Simon"},{"family":"Almyroudi","given":"Maria Panagiota"},{"family":"Braspenning","given":"Reinout"},{"family":"Lagrou","given":"Katrien"},{"family":"Spriet","given":"Isabel"},{"family":"Dimopoulos","given":"George"},{"family":"Wauters","given":"Joost"}],"issued":{"date-parts":[["2021",12]]}}}],"schema":"https://github.com/citation-style-language/schema/raw/master/csl-citation.json"} </w:instrText>
      </w:r>
      <w:r w:rsidR="00FD0A0A" w:rsidRPr="009A3DB4">
        <w:rPr>
          <w:rFonts w:cstheme="minorHAnsi"/>
          <w:color w:val="000000"/>
        </w:rPr>
        <w:fldChar w:fldCharType="separate"/>
      </w:r>
      <w:r w:rsidR="0027030F">
        <w:rPr>
          <w:rFonts w:cstheme="minorHAnsi"/>
          <w:color w:val="000000"/>
        </w:rPr>
        <w:t>[2]</w:t>
      </w:r>
      <w:r w:rsidR="00FD0A0A" w:rsidRPr="009A3DB4">
        <w:rPr>
          <w:rFonts w:cstheme="minorHAnsi"/>
          <w:color w:val="000000"/>
        </w:rPr>
        <w:fldChar w:fldCharType="end"/>
      </w:r>
      <w:r w:rsidRPr="009A3DB4">
        <w:rPr>
          <w:rFonts w:cstheme="minorHAnsi"/>
          <w:color w:val="000000"/>
        </w:rPr>
        <w:t>.</w:t>
      </w:r>
    </w:p>
    <w:p w14:paraId="741401DB" w14:textId="48CD9AFA" w:rsidR="00EE3319" w:rsidRPr="009A3DB4" w:rsidRDefault="00D77868" w:rsidP="00A8275A">
      <w:pPr>
        <w:spacing w:line="480" w:lineRule="auto"/>
        <w:jc w:val="both"/>
        <w:rPr>
          <w:rFonts w:cstheme="minorHAnsi"/>
        </w:rPr>
      </w:pPr>
      <w:r w:rsidRPr="009A3DB4">
        <w:rPr>
          <w:rFonts w:cstheme="minorHAnsi"/>
        </w:rPr>
        <w:t>Posaconazole is a broad</w:t>
      </w:r>
      <w:r w:rsidR="00DF1A24" w:rsidRPr="009A3DB4">
        <w:rPr>
          <w:rFonts w:cstheme="minorHAnsi"/>
        </w:rPr>
        <w:t>-</w:t>
      </w:r>
      <w:r w:rsidRPr="009A3DB4">
        <w:rPr>
          <w:rFonts w:cstheme="minorHAnsi"/>
        </w:rPr>
        <w:t xml:space="preserve">spectrum triazole antifungal used for prophylaxis and treatment of invasive </w:t>
      </w:r>
      <w:r w:rsidRPr="009A3DB4">
        <w:rPr>
          <w:rFonts w:cstheme="minorHAnsi"/>
          <w:iCs/>
          <w:color w:val="000000"/>
        </w:rPr>
        <w:t>aspergillosis</w:t>
      </w:r>
      <w:r w:rsidRPr="009A3DB4">
        <w:rPr>
          <w:rFonts w:cstheme="minorHAnsi"/>
          <w:i/>
          <w:color w:val="000000"/>
        </w:rPr>
        <w:t xml:space="preserve"> </w:t>
      </w:r>
      <w:r w:rsidRPr="009A3DB4">
        <w:rPr>
          <w:rFonts w:cstheme="minorHAnsi"/>
          <w:color w:val="000000"/>
        </w:rPr>
        <w:fldChar w:fldCharType="begin"/>
      </w:r>
      <w:r w:rsidR="008322B1" w:rsidRPr="009A3DB4">
        <w:rPr>
          <w:rFonts w:cstheme="minorHAnsi"/>
          <w:color w:val="000000"/>
        </w:rPr>
        <w:instrText xml:space="preserve"> ADDIN ZOTERO_ITEM CSL_CITATION {"citationID":"fFPrV7nZ","properties":{"formattedCitation":"[3]","plainCitation":"[3]","noteIndex":0},"citationItems":[{"id":10412,"uris":["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http://zotero.org/users/7911495/items/FCMUK9YW"]]]]]]],"itemData":{"id":10412,"type":"article-journal","abstract":"In vitro antifungal susceptibility testing results of a new antifungal triazole, posaconazole (POS), were compared to results with amphotericin B (AMB), itraconazole (ITC), voriconazole (VRC), and fluconazole (FLC) against clinical agents of zygomycosis. The MICs of POS at which 50% and 90% of the isolates were inhibited were 0.25 and 4 μg/ml, respectively. POS was significantly more active than VRC and FLC and slightly more active than ITC. The results suggest that POS has significant potential for clinical development against the zygomycetes.","container-title":"Antimicrobial Agents and Chemotherapy","DOI":"10.1128/AAC.46.5.1581-1582.2002","ISSN":"0066-4804","issue":"5","journalAbbreviation":"Antimicrob Agents Chemother","note":"PMID: 11959605\nPMCID: PMC127128","page":"1581-1582","source":"PubMed Central","title":"In Vitro Activities of Posaconazole, Itraconazole, Voriconazole, Amphotericin B, and Fluconazole against 37 Clinical Isolates of Zygomycetes","volume":"46","author":[{"family":"Sun","given":"Qiu N."},{"family":"Fothergill","given":"Annette W."},{"family":"McCarthy","given":"Dora I."},{"family":"Rinaldi","given":"Michael G."},{"family":"Graybill","given":"John R."}],"issued":{"date-parts":[["2002",5]]}}}],"schema":"https://github.com/citation-style-language/schema/raw/master/csl-citation.json"} </w:instrText>
      </w:r>
      <w:r w:rsidRPr="009A3DB4">
        <w:rPr>
          <w:rFonts w:cstheme="minorHAnsi"/>
          <w:color w:val="000000"/>
        </w:rPr>
        <w:fldChar w:fldCharType="separate"/>
      </w:r>
      <w:r w:rsidR="0027030F">
        <w:rPr>
          <w:rFonts w:cstheme="minorHAnsi"/>
        </w:rPr>
        <w:t>[3]</w:t>
      </w:r>
      <w:r w:rsidRPr="009A3DB4">
        <w:rPr>
          <w:rFonts w:cstheme="minorHAnsi"/>
          <w:color w:val="000000"/>
        </w:rPr>
        <w:fldChar w:fldCharType="end"/>
      </w:r>
      <w:r w:rsidRPr="009A3DB4">
        <w:rPr>
          <w:rFonts w:cstheme="minorHAnsi"/>
          <w:color w:val="000000"/>
        </w:rPr>
        <w:t xml:space="preserve">. </w:t>
      </w:r>
      <w:r w:rsidR="00A8275A">
        <w:rPr>
          <w:rFonts w:cstheme="minorHAnsi"/>
          <w:color w:val="000000"/>
        </w:rPr>
        <w:t>Its</w:t>
      </w:r>
      <w:r w:rsidR="00FD0A0A" w:rsidRPr="009A3DB4">
        <w:rPr>
          <w:rFonts w:cstheme="minorHAnsi"/>
        </w:rPr>
        <w:t xml:space="preserve"> primary pharmacokinetic-pharmacodynamic (PKPD) target is the ratio of the</w:t>
      </w:r>
      <w:r w:rsidR="00357D5B">
        <w:rPr>
          <w:rFonts w:cstheme="minorHAnsi"/>
        </w:rPr>
        <w:t xml:space="preserve"> 24-hour</w:t>
      </w:r>
      <w:r w:rsidR="00FD0A0A" w:rsidRPr="009A3DB4">
        <w:rPr>
          <w:rFonts w:cstheme="minorHAnsi"/>
        </w:rPr>
        <w:t xml:space="preserve"> area under the concentration-time curve (AUC</w:t>
      </w:r>
      <w:r w:rsidR="00FD0A0A" w:rsidRPr="009A3DB4">
        <w:rPr>
          <w:rFonts w:cstheme="minorHAnsi"/>
          <w:vertAlign w:val="subscript"/>
        </w:rPr>
        <w:t>0-24</w:t>
      </w:r>
      <w:r w:rsidR="00FD0A0A" w:rsidRPr="009A3DB4">
        <w:rPr>
          <w:rFonts w:cstheme="minorHAnsi"/>
        </w:rPr>
        <w:t xml:space="preserve">) to the minimal inhibitory concentration (MIC). </w:t>
      </w:r>
      <w:r w:rsidR="009D2442">
        <w:rPr>
          <w:rFonts w:eastAsia="Times New Roman" w:cstheme="minorHAnsi"/>
          <w:color w:val="000000"/>
          <w:lang w:eastAsia="zh-CN"/>
        </w:rPr>
        <w:t>B</w:t>
      </w:r>
      <w:r w:rsidR="00FD0A0A" w:rsidRPr="009A3DB4">
        <w:rPr>
          <w:rFonts w:cstheme="minorHAnsi"/>
        </w:rPr>
        <w:t>ased on clinical data</w:t>
      </w:r>
      <w:r w:rsidR="002B1F87" w:rsidRPr="009A3DB4">
        <w:rPr>
          <w:rFonts w:cstheme="minorHAnsi"/>
        </w:rPr>
        <w:t xml:space="preserve"> </w:t>
      </w:r>
      <w:r w:rsidR="009D2442">
        <w:rPr>
          <w:rFonts w:cstheme="minorHAnsi"/>
        </w:rPr>
        <w:t>of</w:t>
      </w:r>
      <w:r w:rsidR="002B1F87" w:rsidRPr="009A3DB4">
        <w:rPr>
          <w:rFonts w:cstheme="minorHAnsi"/>
        </w:rPr>
        <w:t xml:space="preserve"> Walsh</w:t>
      </w:r>
      <w:r w:rsidR="00212365" w:rsidRPr="009A3DB4">
        <w:rPr>
          <w:rFonts w:cstheme="minorHAnsi"/>
        </w:rPr>
        <w:t> </w:t>
      </w:r>
      <w:r w:rsidR="002B1F87" w:rsidRPr="009A3DB4">
        <w:rPr>
          <w:rFonts w:cstheme="minorHAnsi"/>
          <w:i/>
          <w:iCs/>
        </w:rPr>
        <w:t>et</w:t>
      </w:r>
      <w:r w:rsidR="00212365" w:rsidRPr="009A3DB4">
        <w:rPr>
          <w:rFonts w:cstheme="minorHAnsi"/>
          <w:i/>
          <w:iCs/>
        </w:rPr>
        <w:t> </w:t>
      </w:r>
      <w:r w:rsidR="002B1F87" w:rsidRPr="009A3DB4">
        <w:rPr>
          <w:rFonts w:cstheme="minorHAnsi"/>
          <w:i/>
          <w:iCs/>
        </w:rPr>
        <w:t>al.</w:t>
      </w:r>
      <w:r w:rsidR="00FD0A0A" w:rsidRPr="009A3DB4">
        <w:rPr>
          <w:rFonts w:cstheme="minorHAnsi"/>
        </w:rPr>
        <w:t>,</w:t>
      </w:r>
      <w:r w:rsidR="00FD0A0A" w:rsidRPr="009A3DB4">
        <w:rPr>
          <w:rFonts w:eastAsia="Times New Roman" w:cstheme="minorHAnsi"/>
          <w:color w:val="000000"/>
          <w:lang w:eastAsia="zh-CN"/>
        </w:rPr>
        <w:t xml:space="preserve"> an AUC</w:t>
      </w:r>
      <w:r w:rsidR="00FD0A0A" w:rsidRPr="009A3DB4">
        <w:rPr>
          <w:rFonts w:eastAsia="Times New Roman" w:cstheme="minorHAnsi"/>
          <w:color w:val="000000"/>
          <w:vertAlign w:val="subscript"/>
          <w:lang w:eastAsia="zh-CN"/>
        </w:rPr>
        <w:t>0-24</w:t>
      </w:r>
      <w:r w:rsidR="00FD0A0A" w:rsidRPr="009A3DB4">
        <w:rPr>
          <w:rFonts w:eastAsia="Times New Roman" w:cstheme="minorHAnsi"/>
          <w:color w:val="000000"/>
          <w:lang w:eastAsia="zh-CN"/>
        </w:rPr>
        <w:t xml:space="preserve"> treatment target of 30 </w:t>
      </w:r>
      <w:proofErr w:type="spellStart"/>
      <w:r w:rsidR="00FD0A0A" w:rsidRPr="009A3DB4">
        <w:rPr>
          <w:rFonts w:eastAsia="Times New Roman" w:cstheme="minorHAnsi"/>
          <w:color w:val="000000"/>
          <w:lang w:eastAsia="zh-CN"/>
        </w:rPr>
        <w:t>mg×h</w:t>
      </w:r>
      <w:proofErr w:type="spellEnd"/>
      <w:r w:rsidR="00FD0A0A" w:rsidRPr="009A3DB4">
        <w:rPr>
          <w:rFonts w:eastAsia="Times New Roman" w:cstheme="minorHAnsi"/>
          <w:color w:val="000000"/>
          <w:lang w:eastAsia="zh-CN"/>
        </w:rPr>
        <w:t>/L and a</w:t>
      </w:r>
      <w:r w:rsidR="00357D5B">
        <w:rPr>
          <w:rFonts w:eastAsia="Times New Roman" w:cstheme="minorHAnsi"/>
          <w:color w:val="000000"/>
          <w:lang w:eastAsia="zh-CN"/>
        </w:rPr>
        <w:t xml:space="preserve"> trough concentration</w:t>
      </w:r>
      <w:r w:rsidR="00FD0A0A" w:rsidRPr="009A3DB4">
        <w:rPr>
          <w:rFonts w:eastAsia="Times New Roman" w:cstheme="minorHAnsi"/>
          <w:color w:val="000000"/>
          <w:lang w:eastAsia="zh-CN"/>
        </w:rPr>
        <w:t xml:space="preserve"> </w:t>
      </w:r>
      <w:r w:rsidR="00357D5B">
        <w:rPr>
          <w:rFonts w:eastAsia="Times New Roman" w:cstheme="minorHAnsi"/>
          <w:color w:val="000000"/>
          <w:lang w:eastAsia="zh-CN"/>
        </w:rPr>
        <w:t>(</w:t>
      </w:r>
      <w:proofErr w:type="spellStart"/>
      <w:r w:rsidR="00FD0A0A" w:rsidRPr="009A3DB4">
        <w:rPr>
          <w:rFonts w:eastAsia="Times New Roman" w:cstheme="minorHAnsi"/>
          <w:color w:val="000000"/>
          <w:lang w:eastAsia="zh-CN"/>
        </w:rPr>
        <w:t>C</w:t>
      </w:r>
      <w:r w:rsidR="00FD0A0A" w:rsidRPr="009A3DB4">
        <w:rPr>
          <w:rFonts w:eastAsia="Times New Roman" w:cstheme="minorHAnsi"/>
          <w:color w:val="000000"/>
          <w:vertAlign w:val="subscript"/>
          <w:lang w:eastAsia="zh-CN"/>
        </w:rPr>
        <w:t>min</w:t>
      </w:r>
      <w:proofErr w:type="spellEnd"/>
      <w:r w:rsidR="00357D5B">
        <w:rPr>
          <w:rFonts w:eastAsia="Times New Roman" w:cstheme="minorHAnsi"/>
          <w:color w:val="000000"/>
          <w:lang w:eastAsia="zh-CN"/>
        </w:rPr>
        <w:t>)</w:t>
      </w:r>
      <w:r w:rsidR="00FD0A0A" w:rsidRPr="00357D5B">
        <w:rPr>
          <w:rFonts w:eastAsia="Times New Roman" w:cstheme="minorHAnsi"/>
          <w:color w:val="000000"/>
          <w:lang w:eastAsia="zh-CN"/>
        </w:rPr>
        <w:t xml:space="preserve"> </w:t>
      </w:r>
      <w:r w:rsidR="00FD0A0A" w:rsidRPr="009A3DB4">
        <w:rPr>
          <w:rFonts w:eastAsia="Times New Roman" w:cstheme="minorHAnsi"/>
          <w:color w:val="000000"/>
          <w:lang w:eastAsia="zh-CN"/>
        </w:rPr>
        <w:t>treatment</w:t>
      </w:r>
      <w:r w:rsidR="00FD0A0A" w:rsidRPr="009A3DB4">
        <w:rPr>
          <w:rFonts w:eastAsia="Times New Roman" w:cstheme="minorHAnsi"/>
          <w:color w:val="000000"/>
          <w:vertAlign w:val="subscript"/>
          <w:lang w:eastAsia="zh-CN"/>
        </w:rPr>
        <w:t xml:space="preserve"> </w:t>
      </w:r>
      <w:r w:rsidR="00FD0A0A" w:rsidRPr="009A3DB4">
        <w:rPr>
          <w:rFonts w:eastAsia="Times New Roman" w:cstheme="minorHAnsi"/>
          <w:color w:val="000000"/>
          <w:lang w:eastAsia="zh-CN"/>
        </w:rPr>
        <w:t>target of 1</w:t>
      </w:r>
      <w:r w:rsidR="009D2442">
        <w:rPr>
          <w:rFonts w:eastAsia="Times New Roman" w:cstheme="minorHAnsi"/>
          <w:color w:val="000000"/>
          <w:lang w:eastAsia="zh-CN"/>
        </w:rPr>
        <w:t> </w:t>
      </w:r>
      <w:r w:rsidR="00FD0A0A" w:rsidRPr="009A3DB4">
        <w:rPr>
          <w:rFonts w:eastAsia="Times New Roman" w:cstheme="minorHAnsi"/>
          <w:color w:val="000000"/>
          <w:lang w:eastAsia="zh-CN"/>
        </w:rPr>
        <w:t xml:space="preserve">mg/L </w:t>
      </w:r>
      <w:r w:rsidR="009D2442">
        <w:rPr>
          <w:rFonts w:eastAsia="Times New Roman" w:cstheme="minorHAnsi"/>
          <w:color w:val="000000"/>
          <w:lang w:eastAsia="zh-CN"/>
        </w:rPr>
        <w:t>are</w:t>
      </w:r>
      <w:r w:rsidR="009D2442" w:rsidRPr="009A3DB4">
        <w:rPr>
          <w:rFonts w:eastAsia="Times New Roman" w:cstheme="minorHAnsi"/>
          <w:color w:val="000000"/>
          <w:lang w:eastAsia="zh-CN"/>
        </w:rPr>
        <w:t xml:space="preserve"> </w:t>
      </w:r>
      <w:r w:rsidR="00FD0A0A" w:rsidRPr="009A3DB4">
        <w:rPr>
          <w:rFonts w:eastAsia="Times New Roman" w:cstheme="minorHAnsi"/>
          <w:color w:val="000000"/>
          <w:lang w:eastAsia="zh-CN"/>
        </w:rPr>
        <w:t xml:space="preserve">used </w:t>
      </w:r>
      <w:r w:rsidR="00FD0A0A" w:rsidRPr="009A3DB4">
        <w:rPr>
          <w:rFonts w:eastAsia="Times New Roman" w:cstheme="minorHAnsi"/>
          <w:color w:val="000000"/>
          <w:lang w:eastAsia="zh-CN"/>
        </w:rPr>
        <w:fldChar w:fldCharType="begin"/>
      </w:r>
      <w:r w:rsidR="00C6202C">
        <w:rPr>
          <w:rFonts w:eastAsia="Times New Roman" w:cstheme="minorHAnsi"/>
          <w:color w:val="000000"/>
          <w:lang w:eastAsia="zh-CN"/>
        </w:rPr>
        <w:instrText xml:space="preserve"> ADDIN ZOTERO_ITEM CSL_CITATION {"citationID":"BSnSr8Ab","properties":{"formattedCitation":"[4]","plainCitation":"[4]","noteIndex":0},"citationItems":[{"id":545,"uris":["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http://zotero.org/users/7911495/items/EZFMQGS9"]]]]],"itemData":{"id":545,"type":"article-journal","abstract":"Abstract. Background. Invasive aspergillosis is an important cause of morbidity and mortality in immunocompromised patients. Current treatments provide limited","container-title":"Clinical Infectious Diseases","DOI":"10.1086/508774","ISSN":"1058-4838","issue":"1","journalAbbreviation":"Clin Infect Dis","language":"en","page":"2-12","source":"academic.oup.com","title":"Treatment of Invasive Aspergillosis with Posaconazole in Patients Who Are Refractory to or Intolerant of Conventional Therapy: An Externally Controlled Trial","title-short":"Treatment of Invasive Aspergillosis with Posaconazole in Patients Who Are Refractory to or Intolerant of Conventional Therapy","volume":"44","author":[{"family":"Walsh","given":"Thomas J."},{"family":"Raad","given":"Issam"},{"family":"Patterson","given":"Thomas F."},{"family":"Chandrasekar","given":"Pranatharthi"},{"family":"Donowitz","given":"Gerald R."},{"family":"Graybill","given":"Richard"},{"family":"Greene","given":"Reginald E."},{"family":"Hachem","given":"Ray"},{"family":"Hadley","given":"Susan"},{"family":"Herbrecht","given":"Raoul"},{"family":"Langston","given":"Amelia"},{"family":"Louie","given":"Arnold"},{"family":"Ribaud","given":"Patricia"},{"family":"Segal","given":"Brahm H."},{"family":"Stevens","given":"David A."},{"family":"Burik","given":"Jo-Anne H.","non-dropping-particle":"van"},{"family":"White","given":"Charles S."},{"family":"Corcoran","given":"Gavin"},{"family":"Gogate","given":"Jagadish"},{"family":"Krishna","given":"Gopal"},{"family":"Pedicone","given":"Lisa"},{"family":"Hardalo","given":"Catherine"},{"family":"Perfect","given":"John R."}],"issued":{"date-parts":[["2007",1,1]]}}}],"schema":"https://github.com/citation-style-language/schema/raw/master/csl-citation.json"} </w:instrText>
      </w:r>
      <w:r w:rsidR="00FD0A0A" w:rsidRPr="009A3DB4">
        <w:rPr>
          <w:rFonts w:eastAsia="Times New Roman" w:cstheme="minorHAnsi"/>
          <w:color w:val="000000"/>
          <w:lang w:eastAsia="zh-CN"/>
        </w:rPr>
        <w:fldChar w:fldCharType="separate"/>
      </w:r>
      <w:r w:rsidR="00C6202C">
        <w:rPr>
          <w:rFonts w:eastAsia="Times New Roman" w:cstheme="minorHAnsi"/>
          <w:color w:val="000000"/>
          <w:lang w:eastAsia="zh-CN"/>
        </w:rPr>
        <w:t>[4]</w:t>
      </w:r>
      <w:r w:rsidR="00FD0A0A" w:rsidRPr="009A3DB4">
        <w:rPr>
          <w:rFonts w:eastAsia="Times New Roman" w:cstheme="minorHAnsi"/>
          <w:color w:val="000000"/>
          <w:lang w:eastAsia="zh-CN"/>
        </w:rPr>
        <w:fldChar w:fldCharType="end"/>
      </w:r>
      <w:r w:rsidR="00FD0A0A" w:rsidRPr="009A3DB4">
        <w:rPr>
          <w:rFonts w:eastAsia="Times New Roman" w:cstheme="minorHAnsi"/>
          <w:color w:val="000000"/>
          <w:lang w:eastAsia="zh-CN"/>
        </w:rPr>
        <w:t>. For prophylaxis, a</w:t>
      </w:r>
      <w:r w:rsidR="0074462A" w:rsidRPr="009A3DB4">
        <w:rPr>
          <w:rFonts w:eastAsia="Times New Roman" w:cstheme="minorHAnsi"/>
          <w:color w:val="000000"/>
          <w:lang w:eastAsia="zh-CN"/>
        </w:rPr>
        <w:t xml:space="preserve"> </w:t>
      </w:r>
      <w:proofErr w:type="spellStart"/>
      <w:r w:rsidR="00FD0A0A" w:rsidRPr="009A3DB4">
        <w:rPr>
          <w:rFonts w:eastAsia="Times New Roman" w:cstheme="minorHAnsi"/>
          <w:color w:val="000000"/>
          <w:lang w:eastAsia="zh-CN"/>
        </w:rPr>
        <w:t>C</w:t>
      </w:r>
      <w:r w:rsidR="00FD0A0A" w:rsidRPr="009A3DB4">
        <w:rPr>
          <w:rFonts w:eastAsia="Times New Roman" w:cstheme="minorHAnsi"/>
          <w:color w:val="000000"/>
          <w:vertAlign w:val="subscript"/>
          <w:lang w:eastAsia="zh-CN"/>
        </w:rPr>
        <w:t>min</w:t>
      </w:r>
      <w:proofErr w:type="spellEnd"/>
      <w:r w:rsidR="00FD0A0A" w:rsidRPr="009A3DB4">
        <w:rPr>
          <w:rFonts w:eastAsia="Times New Roman" w:cstheme="minorHAnsi"/>
          <w:color w:val="000000"/>
          <w:lang w:eastAsia="zh-CN"/>
        </w:rPr>
        <w:t xml:space="preserve"> </w:t>
      </w:r>
      <w:r w:rsidR="00FD0A0A" w:rsidRPr="009A3DB4">
        <w:rPr>
          <w:rFonts w:cstheme="minorHAnsi"/>
        </w:rPr>
        <w:t>of 0.7</w:t>
      </w:r>
      <w:r w:rsidR="00356E6C">
        <w:rPr>
          <w:rFonts w:cstheme="minorHAnsi"/>
        </w:rPr>
        <w:t> </w:t>
      </w:r>
      <w:r w:rsidR="00FD0A0A" w:rsidRPr="009A3DB4">
        <w:rPr>
          <w:rFonts w:cstheme="minorHAnsi"/>
        </w:rPr>
        <w:t xml:space="preserve">mg/L is targeted </w:t>
      </w:r>
      <w:r w:rsidR="00EE3319" w:rsidRPr="009A3DB4">
        <w:rPr>
          <w:rFonts w:cstheme="minorHAnsi"/>
        </w:rPr>
        <w:fldChar w:fldCharType="begin"/>
      </w:r>
      <w:r w:rsidR="00C6202C">
        <w:rPr>
          <w:rFonts w:cstheme="minorHAnsi"/>
        </w:rPr>
        <w:instrText xml:space="preserve"> ADDIN ZOTERO_ITEM CSL_CITATION {"citationID":"xGvuUk4Y","properties":{"formattedCitation":"[5]","plainCitation":"[5]","noteIndex":0},"citationItems":[{"id":14404,"uris":["http://zotero.org/users/7911495/items/JLXQL2S5",["http://zotero.org/users/7911495/items/JLXQL2S5"],["http://zotero.org/users/7911495/items/JLXQL2S5",["http://zotero.org/users/7911495/items/JLXQL2S5"]],["http://zotero.org/users/7911495/items/JLXQL2S5",["http://zotero.org/users/7911495/items/JLXQL2S5"],["http://zotero.org/users/7911495/items/JLXQL2S5",["http://zotero.org/users/7911495/items/JLXQL2S5"]]]],"itemData":{"id":14404,"type":"article-journal","abstract":"Invasive fungal infections remain a major cause of illness and death in patients with neutropenia who have hematologic cancers, despite the availability of new antifungal agents. The incidence of proven or probable mold and yeast infections can reach 24% among patients with leukemia.1,2 Reported mortality from candidiasis or aspergillosis ranges from 40 to 50%, and mortality from fusariosis or zygomycosis is 70% or more.3–8 Prophylaxis is a commonly used treatment strategy, because the diagnosis of fungal infection is often delayed or difficult to establish with certainty, and a delay in antifungal treatment increases mortality.9–11 Antifungal prophylaxis with . . .","container-title":"New England Journal of Medicine","DOI":"10.1056/NEJMoa061094","ISSN":"0028-4793","issue":"4","note":"publisher: Massachusetts Medical Society\n_eprint: https://doi.org/10.1056/NEJMoa061094\nPMID: 17251531","page":"348-359","source":"Taylor and Francis+NEJM","title":"Posaconazole vs. Fluconazole or Itraconazole Prophylaxis in Patients with Neutropenia","volume":"356","author":[{"family":"Cornely","given":"Oliver A."},{"family":"Maertens","given":"Johan"},{"family":"Winston","given":"Drew J."},{"family":"Perfect","given":"John"},{"family":"Ullmann","given":"Andrew J."},{"family":"Walsh","given":"Thomas J."},{"family":"Helfgott","given":"David"},{"family":"Holowiecki","given":"Jerzy"},{"family":"Stockelberg","given":"Dick"},{"family":"Goh","given":"Yeow-Tee"},{"family":"Petrini","given":"Mario"},{"family":"Hardalo","given":"Cathy"},{"family":"Suresh","given":"Ramachandran"},{"family":"Angulo-Gonzalez","given":"David"}],"issued":{"date-parts":[["2007",1,25]]}}}],"schema":"https://github.com/citation-style-language/schema/raw/master/csl-citation.json"} </w:instrText>
      </w:r>
      <w:r w:rsidR="00EE3319" w:rsidRPr="009A3DB4">
        <w:rPr>
          <w:rFonts w:cstheme="minorHAnsi"/>
        </w:rPr>
        <w:fldChar w:fldCharType="separate"/>
      </w:r>
      <w:r w:rsidR="00C6202C">
        <w:rPr>
          <w:rFonts w:ascii="Calibri" w:cs="Calibri"/>
        </w:rPr>
        <w:t>[5]</w:t>
      </w:r>
      <w:r w:rsidR="00EE3319" w:rsidRPr="009A3DB4">
        <w:rPr>
          <w:rFonts w:cstheme="minorHAnsi"/>
        </w:rPr>
        <w:fldChar w:fldCharType="end"/>
      </w:r>
      <w:r w:rsidR="00FD0A0A" w:rsidRPr="009A3DB4">
        <w:rPr>
          <w:rFonts w:cstheme="minorHAnsi"/>
        </w:rPr>
        <w:t xml:space="preserve">. </w:t>
      </w:r>
      <w:r w:rsidR="00512ED8" w:rsidRPr="009A3DB4">
        <w:rPr>
          <w:rFonts w:cstheme="minorHAnsi"/>
        </w:rPr>
        <w:t xml:space="preserve">As </w:t>
      </w:r>
      <w:r w:rsidR="00DE4C16">
        <w:rPr>
          <w:rFonts w:cstheme="minorHAnsi"/>
        </w:rPr>
        <w:t>PK</w:t>
      </w:r>
      <w:r w:rsidR="00512ED8" w:rsidRPr="009A3DB4">
        <w:rPr>
          <w:rFonts w:cstheme="minorHAnsi"/>
        </w:rPr>
        <w:t xml:space="preserve"> variability </w:t>
      </w:r>
      <w:r w:rsidR="00DE4C16">
        <w:rPr>
          <w:rFonts w:cstheme="minorHAnsi"/>
        </w:rPr>
        <w:t>is large</w:t>
      </w:r>
      <w:r w:rsidR="00512ED8" w:rsidRPr="009A3DB4">
        <w:rPr>
          <w:rFonts w:cstheme="minorHAnsi"/>
        </w:rPr>
        <w:t>, therapeutic drug monitoring (TDM) is often applied in daily clinical practice</w:t>
      </w:r>
      <w:r w:rsidR="00CF3631" w:rsidRPr="009A3DB4">
        <w:rPr>
          <w:rFonts w:cstheme="minorHAnsi"/>
        </w:rPr>
        <w:t xml:space="preserve"> </w:t>
      </w:r>
      <w:r w:rsidR="00CF3631" w:rsidRPr="009A3DB4">
        <w:rPr>
          <w:rFonts w:cstheme="minorHAnsi"/>
        </w:rPr>
        <w:fldChar w:fldCharType="begin"/>
      </w:r>
      <w:r w:rsidR="00C6202C">
        <w:rPr>
          <w:rFonts w:cstheme="minorHAnsi"/>
        </w:rPr>
        <w:instrText xml:space="preserve"> ADDIN ZOTERO_ITEM CSL_CITATION {"citationID":"Uua8UDT5","properties":{"formattedCitation":"[6]","plainCitation":"[6]","noteIndex":0},"citationItems":[{"id":14402,"uris":["http://zotero.org/users/7911495/items/4NB4H8JS",["http://zotero.org/users/7911495/items/4NB4H8JS"],["http://zotero.org/users/7911495/items/4NB4H8JS",["http://zotero.org/users/7911495/items/4NB4H8JS"]],["http://zotero.org/users/7911495/items/4NB4H8JS",["http://zotero.org/users/7911495/items/4NB4H8JS"],["http://zotero.org/users/7911495/items/4NB4H8JS",["http://zotero.org/users/7911495/items/4NB4H8JS"]]]],"itemData":{"id":14402,"type":"article-journal","container-title":"Clinical Microbiology and Infection","DOI":"10.1016/j.cmi.2018.01.002","ISSN":"1198-743X","journalAbbreviation":"Clinical Microbiology and Infection","language":"English","note":"publisher: Elsevier\nPMID: 29544767","page":"e1-e38","source":"www.clinicalmicrobiologyandinfection.com","title":"Diagnosis and management of Aspergillus diseases: executive summary of the 2017 ESCMID-ECMM-ERS guideline","title-short":"Diagnosis and management of Aspergillus diseases","volume":"24","author":[{"family":"Ullmann","given":"A. J."},{"family":"Aguado","given":"J. M."},{"family":"Arikan-Akdagli","given":"S."},{"family":"Denning","given":"D. W."},{"family":"Groll","given":"A. H."},{"family":"Lagrou","given":"K."},{"family":"Lass-Flörl","given":"C."},{"family":"Lewis","given":"R. E."},{"family":"Munoz","given":"P."},{"family":"Verweij","given":"P. E."},{"family":"Warris","given":"A."},{"family":"Ader","given":"F."},{"family":"Akova","given":"M."},{"family":"Arendrup","given":"M. C."},{"family":"Barnes","given":"R. A."},{"family":"Beigelman-Aubry","given":"C."},{"family":"Blot","given":"S."},{"family":"Bouza","given":"E."},{"family":"Brüggemann","given":"R. J. M."},{"family":"Buchheidt","given":"D."},{"family":"Cadranel","given":"J."},{"family":"Castagnola","given":"E."},{"family":"Chakrabarti","given":"A."},{"family":"Cuenca-Estrella","given":"M."},{"family":"Dimopoulos","given":"G."},{"family":"Fortun","given":"J."},{"family":"Gangneux","given":"J.-P."},{"family":"Garbino","given":"J."},{"family":"Heinz","given":"W. J."},{"family":"Herbrecht","given":"R."},{"family":"Heussel","given":"C. P."},{"family":"Kibbler","given":"C. C."},{"family":"Klimko","given":"N."},{"family":"Kullberg","given":"B. J."},{"family":"Lange","given":"C."},{"family":"Lehrnbecher","given":"T."},{"family":"Löffler","given":"J."},{"family":"Lortholary","given":"O."},{"family":"Maertens","given":"J."},{"family":"Marchetti","given":"O."},{"family":"Meis","given":"J. F."},{"family":"Pagano","given":"L."},{"family":"Ribaud","given":"P."},{"family":"Richardson","given":"M."},{"family":"Roilides","given":"E."},{"family":"Ruhnke","given":"M."},{"family":"Sanguinetti","given":"M."},{"family":"Sheppard","given":"D. C."},{"family":"Sinkó","given":"J."},{"family":"Skiada","given":"A."},{"family":"Vehreschild","given":"M. J. G. T."},{"family":"Viscoli","given":"C."},{"family":"Cornely","given":"O. A."}],"issued":{"date-parts":[["2018",5,1]]}}}],"schema":"https://github.com/citation-style-language/schema/raw/master/csl-citation.json"} </w:instrText>
      </w:r>
      <w:r w:rsidR="00CF3631" w:rsidRPr="009A3DB4">
        <w:rPr>
          <w:rFonts w:cstheme="minorHAnsi"/>
        </w:rPr>
        <w:fldChar w:fldCharType="separate"/>
      </w:r>
      <w:r w:rsidR="00C6202C">
        <w:rPr>
          <w:rFonts w:cstheme="minorHAnsi"/>
        </w:rPr>
        <w:t>[6]</w:t>
      </w:r>
      <w:r w:rsidR="00CF3631" w:rsidRPr="009A3DB4">
        <w:rPr>
          <w:rFonts w:cstheme="minorHAnsi"/>
        </w:rPr>
        <w:fldChar w:fldCharType="end"/>
      </w:r>
      <w:r w:rsidR="00CF3631" w:rsidRPr="009A3DB4">
        <w:rPr>
          <w:rFonts w:cstheme="minorHAnsi"/>
          <w:color w:val="000000" w:themeColor="text1"/>
        </w:rPr>
        <w:t>.</w:t>
      </w:r>
    </w:p>
    <w:p w14:paraId="42FA0725" w14:textId="4824A4F0" w:rsidR="00FD0A0A" w:rsidRPr="009A3DB4" w:rsidRDefault="00FD0A0A" w:rsidP="00836CF1">
      <w:pPr>
        <w:spacing w:line="480" w:lineRule="auto"/>
        <w:jc w:val="both"/>
        <w:rPr>
          <w:rFonts w:cstheme="minorHAnsi"/>
          <w:color w:val="000000"/>
        </w:rPr>
      </w:pPr>
      <w:r w:rsidRPr="009A3DB4">
        <w:rPr>
          <w:rFonts w:cstheme="minorHAnsi"/>
          <w:color w:val="000000"/>
        </w:rPr>
        <w:t xml:space="preserve">Posaconazole has been shown to be effective in the prophylaxis against IPA in patients with hematological malignancies </w:t>
      </w:r>
      <w:r w:rsidRPr="009A3DB4">
        <w:rPr>
          <w:rFonts w:cstheme="minorHAnsi"/>
          <w:color w:val="000000"/>
        </w:rPr>
        <w:fldChar w:fldCharType="begin"/>
      </w:r>
      <w:r w:rsidR="00C6202C">
        <w:rPr>
          <w:rFonts w:cstheme="minorHAnsi"/>
          <w:color w:val="000000"/>
        </w:rPr>
        <w:instrText xml:space="preserve"> ADDIN ZOTERO_ITEM CSL_CITATION {"citationID":"pXmmg0z2","properties":{"formattedCitation":"[5,7]","plainCitation":"[5,7]","noteIndex":0},"citationItems":[{"id":14404,"uris":["http://zotero.org/users/7911495/items/JLXQL2S5",["http://zotero.org/users/7911495/items/JLXQL2S5"],["http://zotero.org/users/7911495/items/JLXQL2S5",["http://zotero.org/users/7911495/items/JLXQL2S5"]],["http://zotero.org/users/7911495/items/JLXQL2S5",["http://zotero.org/users/7911495/items/JLXQL2S5"],["http://zotero.org/users/7911495/items/JLXQL2S5",["http://zotero.org/users/7911495/items/JLXQL2S5"]]]],"itemData":{"id":14404,"type":"article-journal","abstract":"Invasive fungal infections remain a major cause of illness and death in patients with neutropenia who have hematologic cancers, despite the availability of new antifungal agents. The incidence of proven or probable mold and yeast infections can reach 24% among patients with leukemia.1,2 Reported mortality from candidiasis or aspergillosis ranges from 40 to 50%, and mortality from fusariosis or zygomycosis is 70% or more.3–8 Prophylaxis is a commonly used treatment strategy, because the diagnosis of fungal infection is often delayed or difficult to establish with certainty, and a delay in antifungal treatment increases mortality.9–11 Antifungal prophylaxis with . . .","container-title":"New England Journal of Medicine","DOI":"10.1056/NEJMoa061094","ISSN":"0028-4793","issue":"4","note":"publisher: Massachusetts Medical Society\n_eprint: https://doi.org/10.1056/NEJMoa061094\nPMID: 17251531","page":"348-359","source":"Taylor and Francis+NEJM","title":"Posaconazole vs. Fluconazole or Itraconazole Prophylaxis in Patients with Neutropenia","volume":"356","author":[{"family":"Cornely","given":"Oliver A."},{"family":"Maertens","given":"Johan"},{"family":"Winston","given":"Drew J."},{"family":"Perfect","given":"John"},{"family":"Ullmann","given":"Andrew J."},{"family":"Walsh","given":"Thomas J."},{"family":"Helfgott","given":"David"},{"family":"Holowiecki","given":"Jerzy"},{"family":"Stockelberg","given":"Dick"},{"family":"Goh","given":"Yeow-Tee"},{"family":"Petrini","given":"Mario"},{"family":"Hardalo","given":"Cathy"},{"family":"Suresh","given":"Ramachandran"},{"family":"Angulo-Gonzalez","given":"David"}],"issued":{"date-parts":[["2007",1,25]]}}},{"id":256,"uris":["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itemData":{"id":256,"type":"article-journal","abstract":"Posaconazole is typically used for preventing invasive yeast and mold infections such as invasive aspergillosis in high-risk immunocompromised patients. The oral suspension was the first released formulation and many pharmacokinetic and pharmacodynamic studies of this formulation have been published. Erratic absorption profiles associated with this formulation were widely reported. Posaconazole exposure was found to be significantly influenced by food and many gastrointestinal conditions, including pH and motility. As a result, low posaconazole plasma concentrations were obtained in large groups of patients. These issues of erratic absorption urged the development of the subsequently marketed delayed-release tablet, which proved to be associated with higher and more stable exposure profiles. Shortly thereafter, an intravenous formulation was released for patients who are not able to take oral formulations. Both new formulations require a loading dose on day 1 to achieve high posaconazole concentrations more quickly, which was not possible with the oral suspension. So far, there appears to be no evidence of increased toxicity correlated to the higher posaconazole exposure achieved with the regimen for these formulations. The higher systemic availability of posaconazole for the delayed-release tablet and intravenous formulation have resulted in these two formulations being preferable for both prophylaxis and treatment of invasive fungal disease. This review aimed to integrate the current knowledge on posaconazole pharmacokinetics, pharmacodynamics, major toxicity, existing resistance, clinical experience in special populations, and new therapeutic strategies in order to get a clear understanding of the clinical use of this drug.","container-title":"Drugs","DOI":"10.1007/s40265-020-01306-y","ISSN":"0012-6667, 1179-1950","issue":"7","journalAbbreviation":"Drugs","language":"en","page":"671-695","source":"DOI.org (Crossref)","title":"Pharmacokinetics and Pharmacodynamics of Posaconazole","volume":"80","author":[{"family":"Chen","given":"Lu"},{"family":"Krekels","given":"Elke H. J."},{"family":"Verweij","given":"Paul. E."},{"family":"Buil","given":"Jochem B."},{"family":"Knibbe","given":"Catherijne A. J."},{"family":"Brüggemann","given":"Roger J. M."}],"issued":{"date-parts":[["2020",5]]}}}],"schema":"https://github.com/citation-style-language/schema/raw/master/csl-citation.json"} </w:instrText>
      </w:r>
      <w:r w:rsidRPr="009A3DB4">
        <w:rPr>
          <w:rFonts w:cstheme="minorHAnsi"/>
          <w:color w:val="000000"/>
        </w:rPr>
        <w:fldChar w:fldCharType="separate"/>
      </w:r>
      <w:r w:rsidR="00C6202C">
        <w:rPr>
          <w:rFonts w:ascii="Calibri" w:cs="Calibri"/>
        </w:rPr>
        <w:t>[5,7]</w:t>
      </w:r>
      <w:r w:rsidRPr="009A3DB4">
        <w:rPr>
          <w:rFonts w:cstheme="minorHAnsi"/>
          <w:color w:val="000000"/>
        </w:rPr>
        <w:fldChar w:fldCharType="end"/>
      </w:r>
      <w:r w:rsidRPr="009A3DB4">
        <w:rPr>
          <w:rFonts w:cstheme="minorHAnsi"/>
          <w:color w:val="000000"/>
        </w:rPr>
        <w:t>.</w:t>
      </w:r>
      <w:bookmarkStart w:id="0" w:name="_Hlk119661072"/>
      <w:r w:rsidRPr="009A3DB4">
        <w:rPr>
          <w:rFonts w:cstheme="minorHAnsi"/>
          <w:color w:val="000000"/>
        </w:rPr>
        <w:t xml:space="preserve"> A favorable safety profile, the availability as an</w:t>
      </w:r>
      <w:r w:rsidR="00EE3319" w:rsidRPr="009A3DB4">
        <w:rPr>
          <w:rFonts w:cstheme="minorHAnsi"/>
          <w:color w:val="000000"/>
        </w:rPr>
        <w:t xml:space="preserve"> IV </w:t>
      </w:r>
      <w:r w:rsidRPr="009A3DB4">
        <w:rPr>
          <w:rFonts w:cstheme="minorHAnsi"/>
          <w:color w:val="000000"/>
        </w:rPr>
        <w:t>infusion, and residual activity against azole</w:t>
      </w:r>
      <w:r w:rsidR="00DC57F4" w:rsidRPr="009A3DB4">
        <w:rPr>
          <w:rFonts w:cstheme="minorHAnsi"/>
          <w:color w:val="000000"/>
        </w:rPr>
        <w:t>-</w:t>
      </w:r>
      <w:r w:rsidRPr="009A3DB4">
        <w:rPr>
          <w:rFonts w:cstheme="minorHAnsi"/>
          <w:color w:val="000000"/>
        </w:rPr>
        <w:t>resistant</w:t>
      </w:r>
      <w:r w:rsidR="00EE3319" w:rsidRPr="009A3DB4">
        <w:rPr>
          <w:rFonts w:eastAsia="Times New Roman" w:cstheme="minorHAnsi"/>
          <w:i/>
          <w:iCs/>
          <w:color w:val="000000"/>
          <w:lang w:eastAsia="zh-CN"/>
        </w:rPr>
        <w:t xml:space="preserve"> </w:t>
      </w:r>
      <w:r w:rsidR="00E9345F" w:rsidRPr="009A3DB4">
        <w:rPr>
          <w:rFonts w:eastAsia="Times New Roman" w:cstheme="minorHAnsi"/>
          <w:i/>
          <w:iCs/>
          <w:color w:val="000000"/>
          <w:lang w:eastAsia="zh-CN"/>
        </w:rPr>
        <w:t>A</w:t>
      </w:r>
      <w:r w:rsidR="00DC57F4" w:rsidRPr="009A3DB4">
        <w:rPr>
          <w:rFonts w:eastAsia="Times New Roman" w:cstheme="minorHAnsi"/>
          <w:i/>
          <w:iCs/>
          <w:color w:val="000000"/>
          <w:lang w:eastAsia="zh-CN"/>
        </w:rPr>
        <w:t>spergillus</w:t>
      </w:r>
      <w:r w:rsidR="00E9345F" w:rsidRPr="009A3DB4">
        <w:rPr>
          <w:rFonts w:eastAsia="Times New Roman" w:cstheme="minorHAnsi"/>
          <w:i/>
          <w:iCs/>
          <w:color w:val="000000"/>
          <w:lang w:eastAsia="zh-CN"/>
        </w:rPr>
        <w:t xml:space="preserve"> </w:t>
      </w:r>
      <w:r w:rsidRPr="009A3DB4">
        <w:rPr>
          <w:rFonts w:cstheme="minorHAnsi"/>
          <w:i/>
          <w:color w:val="000000"/>
        </w:rPr>
        <w:t>fumigatus</w:t>
      </w:r>
      <w:r w:rsidR="00AD1A0A" w:rsidRPr="009A3DB4">
        <w:rPr>
          <w:rFonts w:cstheme="minorHAnsi"/>
          <w:color w:val="000000"/>
        </w:rPr>
        <w:t xml:space="preserve"> </w:t>
      </w:r>
      <w:r w:rsidRPr="009A3DB4">
        <w:rPr>
          <w:rFonts w:cstheme="minorHAnsi"/>
          <w:color w:val="000000"/>
        </w:rPr>
        <w:t xml:space="preserve">make it a suitable candidate for </w:t>
      </w:r>
      <w:r w:rsidR="0074462A" w:rsidRPr="009A3DB4">
        <w:rPr>
          <w:rFonts w:cstheme="minorHAnsi"/>
          <w:color w:val="000000"/>
        </w:rPr>
        <w:t>prophylaxis against</w:t>
      </w:r>
      <w:r w:rsidRPr="009A3DB4">
        <w:rPr>
          <w:rFonts w:cstheme="minorHAnsi"/>
          <w:color w:val="000000"/>
        </w:rPr>
        <w:t xml:space="preserve"> and treatment of IPA, also for patients admitted to the ICU </w:t>
      </w:r>
      <w:r w:rsidRPr="009A3DB4">
        <w:rPr>
          <w:rFonts w:cstheme="minorHAnsi"/>
          <w:color w:val="000000"/>
        </w:rPr>
        <w:fldChar w:fldCharType="begin"/>
      </w:r>
      <w:r w:rsidR="00C6202C">
        <w:rPr>
          <w:rFonts w:cstheme="minorHAnsi"/>
          <w:color w:val="000000"/>
        </w:rPr>
        <w:instrText xml:space="preserve"> ADDIN ZOTERO_ITEM CSL_CITATION {"citationID":"SnmjMW1w","properties":{"formattedCitation":"[7]","plainCitation":"[7]","noteIndex":0},"citationItems":[{"id":256,"uris":["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http://zotero.org/users/7911495/items/LR2EYNRZ"]]]]]]],"itemData":{"id":256,"type":"article-journal","abstract":"Posaconazole is typically used for preventing invasive yeast and mold infections such as invasive aspergillosis in high-risk immunocompromised patients. The oral suspension was the first released formulation and many pharmacokinetic and pharmacodynamic studies of this formulation have been published. Erratic absorption profiles associated with this formulation were widely reported. Posaconazole exposure was found to be significantly influenced by food and many gastrointestinal conditions, including pH and motility. As a result, low posaconazole plasma concentrations were obtained in large groups of patients. These issues of erratic absorption urged the development of the subsequently marketed delayed-release tablet, which proved to be associated with higher and more stable exposure profiles. Shortly thereafter, an intravenous formulation was released for patients who are not able to take oral formulations. Both new formulations require a loading dose on day 1 to achieve high posaconazole concentrations more quickly, which was not possible with the oral suspension. So far, there appears to be no evidence of increased toxicity correlated to the higher posaconazole exposure achieved with the regimen for these formulations. The higher systemic availability of posaconazole for the delayed-release tablet and intravenous formulation have resulted in these two formulations being preferable for both prophylaxis and treatment of invasive fungal disease. This review aimed to integrate the current knowledge on posaconazole pharmacokinetics, pharmacodynamics, major toxicity, existing resistance, clinical experience in special populations, and new therapeutic strategies in order to get a clear understanding of the clinical use of this drug.","container-title":"Drugs","DOI":"10.1007/s40265-020-01306-y","ISSN":"0012-6667, 1179-1950","issue":"7","journalAbbreviation":"Drugs","language":"en","page":"671-695","source":"DOI.org (Crossref)","title":"Pharmacokinetics and Pharmacodynamics of Posaconazole","volume":"80","author":[{"family":"Chen","given":"Lu"},{"family":"Krekels","given":"Elke H. J."},{"family":"Verweij","given":"Paul. E."},{"family":"Buil","given":"Jochem B."},{"family":"Knibbe","given":"Catherijne A. J."},{"family":"Brüggemann","given":"Roger J. M."}],"issued":{"date-parts":[["2020",5]]}}}],"schema":"https://github.com/citation-style-language/schema/raw/master/csl-citation.json"} </w:instrText>
      </w:r>
      <w:r w:rsidRPr="009A3DB4">
        <w:rPr>
          <w:rFonts w:cstheme="minorHAnsi"/>
          <w:color w:val="000000"/>
        </w:rPr>
        <w:fldChar w:fldCharType="separate"/>
      </w:r>
      <w:r w:rsidR="00C6202C">
        <w:rPr>
          <w:rFonts w:ascii="Calibri" w:cs="Calibri"/>
        </w:rPr>
        <w:t>[7]</w:t>
      </w:r>
      <w:r w:rsidRPr="009A3DB4">
        <w:rPr>
          <w:rFonts w:cstheme="minorHAnsi"/>
          <w:color w:val="000000"/>
        </w:rPr>
        <w:fldChar w:fldCharType="end"/>
      </w:r>
      <w:r w:rsidRPr="009A3DB4">
        <w:rPr>
          <w:rFonts w:cstheme="minorHAnsi"/>
          <w:color w:val="000000"/>
        </w:rPr>
        <w:t>. However, there is limited knowledge about the PK</w:t>
      </w:r>
      <w:r w:rsidR="00EE3319" w:rsidRPr="009A3DB4">
        <w:rPr>
          <w:rFonts w:cstheme="minorHAnsi"/>
          <w:color w:val="000000"/>
        </w:rPr>
        <w:t xml:space="preserve"> </w:t>
      </w:r>
      <w:r w:rsidRPr="009A3DB4">
        <w:rPr>
          <w:rFonts w:cstheme="minorHAnsi"/>
          <w:color w:val="000000"/>
        </w:rPr>
        <w:t xml:space="preserve">characteristics of posaconazole in </w:t>
      </w:r>
      <w:r w:rsidR="00383548">
        <w:rPr>
          <w:rFonts w:cstheme="minorHAnsi"/>
          <w:color w:val="000000"/>
        </w:rPr>
        <w:t>critically ill patients</w:t>
      </w:r>
      <w:r w:rsidRPr="009A3DB4">
        <w:rPr>
          <w:rFonts w:cstheme="minorHAnsi"/>
          <w:color w:val="000000"/>
        </w:rPr>
        <w:t>.</w:t>
      </w:r>
      <w:r w:rsidR="00836CF1">
        <w:rPr>
          <w:rFonts w:cstheme="minorHAnsi"/>
          <w:color w:val="000000"/>
        </w:rPr>
        <w:t xml:space="preserve"> </w:t>
      </w:r>
      <w:r w:rsidR="00562D6C">
        <w:rPr>
          <w:rFonts w:cstheme="minorHAnsi"/>
          <w:color w:val="000000"/>
        </w:rPr>
        <w:t>I</w:t>
      </w:r>
      <w:r w:rsidRPr="009A3DB4">
        <w:rPr>
          <w:rFonts w:cstheme="minorHAnsi"/>
          <w:color w:val="000000"/>
        </w:rPr>
        <w:t xml:space="preserve">n </w:t>
      </w:r>
      <w:r w:rsidR="00EE3319" w:rsidRPr="009A3DB4">
        <w:rPr>
          <w:rFonts w:cstheme="minorHAnsi"/>
          <w:color w:val="000000"/>
        </w:rPr>
        <w:t xml:space="preserve">the </w:t>
      </w:r>
      <w:r w:rsidRPr="009A3DB4">
        <w:rPr>
          <w:rFonts w:cstheme="minorHAnsi"/>
          <w:color w:val="000000"/>
        </w:rPr>
        <w:t>POSA-FLU trial</w:t>
      </w:r>
      <w:r w:rsidR="00562D6C">
        <w:rPr>
          <w:rFonts w:cstheme="minorHAnsi"/>
          <w:color w:val="000000"/>
        </w:rPr>
        <w:t>,</w:t>
      </w:r>
      <w:r w:rsidRPr="009A3DB4">
        <w:rPr>
          <w:rFonts w:cstheme="minorHAnsi"/>
          <w:color w:val="000000"/>
        </w:rPr>
        <w:t xml:space="preserve"> </w:t>
      </w:r>
      <w:r w:rsidR="0046687A" w:rsidRPr="009A3DB4">
        <w:rPr>
          <w:rFonts w:cstheme="minorHAnsi"/>
          <w:color w:val="000000"/>
        </w:rPr>
        <w:t>critically ill influenza</w:t>
      </w:r>
      <w:r w:rsidR="0046687A">
        <w:rPr>
          <w:rFonts w:cstheme="minorHAnsi"/>
          <w:color w:val="000000"/>
        </w:rPr>
        <w:t xml:space="preserve"> receiving standard dose IV posaconazole </w:t>
      </w:r>
      <w:r w:rsidR="00836CF1">
        <w:rPr>
          <w:rFonts w:cstheme="minorHAnsi"/>
          <w:color w:val="000000"/>
        </w:rPr>
        <w:t xml:space="preserve">for prevention of IPA showed </w:t>
      </w:r>
      <w:r w:rsidR="00E16C47" w:rsidRPr="00E16C47">
        <w:rPr>
          <w:rFonts w:cstheme="minorHAnsi"/>
          <w:color w:val="000000"/>
        </w:rPr>
        <w:t xml:space="preserve">adequate attainment of the prophylaxis </w:t>
      </w:r>
      <w:proofErr w:type="spellStart"/>
      <w:r w:rsidR="00E16C47" w:rsidRPr="00E16C47">
        <w:rPr>
          <w:rFonts w:cstheme="minorHAnsi"/>
          <w:color w:val="000000"/>
        </w:rPr>
        <w:t>C</w:t>
      </w:r>
      <w:r w:rsidR="00E16C47" w:rsidRPr="00733F08">
        <w:rPr>
          <w:rFonts w:cstheme="minorHAnsi"/>
          <w:color w:val="000000"/>
          <w:vertAlign w:val="subscript"/>
        </w:rPr>
        <w:t>min</w:t>
      </w:r>
      <w:proofErr w:type="spellEnd"/>
      <w:r w:rsidR="00E16C47" w:rsidRPr="00E16C47">
        <w:rPr>
          <w:rFonts w:cstheme="minorHAnsi"/>
          <w:color w:val="000000"/>
        </w:rPr>
        <w:t xml:space="preserve"> target but not of the treatment </w:t>
      </w:r>
      <w:proofErr w:type="spellStart"/>
      <w:r w:rsidR="00E16C47" w:rsidRPr="00E16C47">
        <w:rPr>
          <w:rFonts w:cstheme="minorHAnsi"/>
          <w:color w:val="000000"/>
        </w:rPr>
        <w:t>C</w:t>
      </w:r>
      <w:r w:rsidR="00E16C47" w:rsidRPr="00733F08">
        <w:rPr>
          <w:rFonts w:cstheme="minorHAnsi"/>
          <w:color w:val="000000"/>
          <w:vertAlign w:val="subscript"/>
        </w:rPr>
        <w:t>min</w:t>
      </w:r>
      <w:proofErr w:type="spellEnd"/>
      <w:r w:rsidR="00E16C47" w:rsidRPr="00E16C47">
        <w:rPr>
          <w:rFonts w:cstheme="minorHAnsi"/>
          <w:color w:val="000000"/>
        </w:rPr>
        <w:t xml:space="preserve"> target</w:t>
      </w:r>
      <w:r w:rsidR="00836CF1">
        <w:rPr>
          <w:rFonts w:eastAsia="Lato-Regular" w:cstheme="minorHAnsi"/>
        </w:rPr>
        <w:t>,</w:t>
      </w:r>
      <w:r w:rsidRPr="009A3DB4">
        <w:rPr>
          <w:rFonts w:eastAsia="Lato-Regular" w:cstheme="minorHAnsi"/>
        </w:rPr>
        <w:t xml:space="preserve"> emphasiz</w:t>
      </w:r>
      <w:r w:rsidR="00836CF1">
        <w:rPr>
          <w:rFonts w:eastAsia="Lato-Regular" w:cstheme="minorHAnsi"/>
        </w:rPr>
        <w:t>ing</w:t>
      </w:r>
      <w:r w:rsidRPr="009A3DB4">
        <w:rPr>
          <w:rFonts w:eastAsia="Lato-Regular" w:cstheme="minorHAnsi"/>
        </w:rPr>
        <w:t xml:space="preserve"> the need for dose optimization of </w:t>
      </w:r>
      <w:r w:rsidR="00EE3319" w:rsidRPr="009A3DB4">
        <w:rPr>
          <w:rFonts w:eastAsia="Lato-Regular" w:cstheme="minorHAnsi"/>
        </w:rPr>
        <w:t>IV</w:t>
      </w:r>
      <w:r w:rsidRPr="009A3DB4">
        <w:rPr>
          <w:rFonts w:eastAsia="Lato-Regular" w:cstheme="minorHAnsi"/>
        </w:rPr>
        <w:t xml:space="preserve"> posaconazole for treatment </w:t>
      </w:r>
      <w:r w:rsidR="00836CF1">
        <w:rPr>
          <w:rFonts w:eastAsia="Lato-Regular" w:cstheme="minorHAnsi"/>
        </w:rPr>
        <w:t>of</w:t>
      </w:r>
      <w:r w:rsidR="00836CF1" w:rsidRPr="009A3DB4">
        <w:rPr>
          <w:rFonts w:eastAsia="Lato-Regular" w:cstheme="minorHAnsi"/>
        </w:rPr>
        <w:t xml:space="preserve"> </w:t>
      </w:r>
      <w:r w:rsidRPr="009A3DB4">
        <w:rPr>
          <w:rFonts w:eastAsia="Lato-Regular" w:cstheme="minorHAnsi"/>
        </w:rPr>
        <w:t>critically ill patients</w:t>
      </w:r>
      <w:r w:rsidR="00836CF1">
        <w:rPr>
          <w:rFonts w:eastAsia="Lato-Regular" w:cstheme="minorHAnsi"/>
        </w:rPr>
        <w:t xml:space="preserve"> </w:t>
      </w:r>
      <w:r w:rsidR="00836CF1" w:rsidRPr="009A3DB4">
        <w:rPr>
          <w:rFonts w:eastAsia="Lato-Regular" w:cstheme="minorHAnsi"/>
        </w:rPr>
        <w:fldChar w:fldCharType="begin"/>
      </w:r>
      <w:r w:rsidR="00C6202C">
        <w:rPr>
          <w:rFonts w:eastAsia="Lato-Regular" w:cstheme="minorHAnsi"/>
        </w:rPr>
        <w:instrText xml:space="preserve"> ADDIN ZOTERO_ITEM CSL_CITATION {"citationID":"V5GVmUb5","properties":{"formattedCitation":"[8]","plainCitation":"[8]","noteIndex":0},"citationItems":[{"id":12937,"uris":["http://zotero.org/users/7911495/items/YSCYIQ98",["http://zotero.org/users/7911495/items/YSCYIQ98"]],"itemData":{"id":12937,"type":"article-journal","abstract":"Background Data on posaconazole in the critically ill are scarce. In the POSA-FLU study, we examined the prevention of influenza-associated pulmonary aspergillosis with posaconazole in this population. Methods In this observational sub-study, we performed a pharmacokinetic analysis, including protein binding and target attainment (TA). Blood samples were collected over a 24 h-dosing interval on both an early (Day 2 or 3) and a later (≥Day 4) treatment day. Results Target attainment was shown for AUC0-24 and Cmin prophylaxis but not for Cmin treatment. Moreover, a saturable protein binding with a significant, positive relationship between albumin concentrations and the maximum binding capacity was observed. Conclusions Our analysis indicates that posaconazole may be a suitable drug to further investigate for prophylaxis, as TA for prophylaxis was reached. Exposure targets for treatment were insufficiently attained in this population.","container-title":"Mycoses","DOI":"10.1111/myc.13446","ISSN":"1439-0507","issue":"6","language":"en","note":"_eprint: https://onlinelibrary.wiley.com/doi/pdf/10.1111/myc.13446","page":"656-660","source":"Wiley Online Library","title":"Exposure to intravenous posaconazole in critically ill patients with influenza: A pharmacokinetic analysis of the POSA-FLU study","title-short":"Exposure to intravenous posaconazole in critically ill patients with influenza","volume":"65","author":[{"family":"Van Daele","given":"Ruth"},{"family":"Wauters","given":"Joost"},{"family":"Dreesen","given":"Erwin"},{"family":"Boelens","given":"Jerina"},{"family":"Nulens","given":"Eric"},{"family":"Lormans","given":"Piet"},{"family":"Vanderbeke","given":"Lore"},{"family":"Jacobs","given":"Cato"},{"family":"Rijnders","given":"Bart"},{"family":"Verweij","given":"Paul E."},{"family":"Brüggemann","given":"Roger J."},{"family":"Spriet","given":"Isabel"}],"issued":{"date-parts":[["2022"]]}}}],"schema":"https://github.com/citation-style-language/schema/raw/master/csl-citation.json"} </w:instrText>
      </w:r>
      <w:r w:rsidR="00836CF1" w:rsidRPr="009A3DB4">
        <w:rPr>
          <w:rFonts w:eastAsia="Lato-Regular" w:cstheme="minorHAnsi"/>
        </w:rPr>
        <w:fldChar w:fldCharType="separate"/>
      </w:r>
      <w:r w:rsidR="00C6202C">
        <w:rPr>
          <w:rFonts w:eastAsia="Lato-Regular" w:cstheme="minorHAnsi"/>
        </w:rPr>
        <w:t>[8]</w:t>
      </w:r>
      <w:r w:rsidR="00836CF1" w:rsidRPr="009A3DB4">
        <w:rPr>
          <w:rFonts w:eastAsia="Lato-Regular" w:cstheme="minorHAnsi"/>
        </w:rPr>
        <w:fldChar w:fldCharType="end"/>
      </w:r>
      <w:r w:rsidRPr="009A3DB4">
        <w:rPr>
          <w:rFonts w:eastAsia="Lato-Regular" w:cstheme="minorHAnsi"/>
        </w:rPr>
        <w:t>.</w:t>
      </w:r>
    </w:p>
    <w:bookmarkEnd w:id="0"/>
    <w:p w14:paraId="42B88266" w14:textId="5E1EADD2" w:rsidR="00386923" w:rsidRPr="009A3DB4" w:rsidRDefault="00FD0A0A" w:rsidP="00FD0A0A">
      <w:pPr>
        <w:autoSpaceDE w:val="0"/>
        <w:autoSpaceDN w:val="0"/>
        <w:adjustRightInd w:val="0"/>
        <w:spacing w:after="0" w:line="480" w:lineRule="auto"/>
        <w:jc w:val="both"/>
        <w:rPr>
          <w:rFonts w:asciiTheme="majorHAnsi" w:hAnsiTheme="majorHAnsi" w:cstheme="majorBidi"/>
          <w:b/>
          <w:color w:val="2F5496" w:themeColor="accent1" w:themeShade="BF"/>
          <w:sz w:val="36"/>
          <w:szCs w:val="32"/>
        </w:rPr>
      </w:pPr>
      <w:r w:rsidRPr="009A3DB4">
        <w:rPr>
          <w:rFonts w:cstheme="minorHAnsi"/>
          <w:color w:val="000000"/>
        </w:rPr>
        <w:lastRenderedPageBreak/>
        <w:t xml:space="preserve">We used POSA-FLU </w:t>
      </w:r>
      <w:r w:rsidR="00AD131A">
        <w:rPr>
          <w:rFonts w:cstheme="minorHAnsi"/>
          <w:color w:val="000000"/>
        </w:rPr>
        <w:t>data</w:t>
      </w:r>
      <w:r w:rsidRPr="009A3DB4">
        <w:rPr>
          <w:rFonts w:cstheme="minorHAnsi"/>
          <w:color w:val="000000"/>
        </w:rPr>
        <w:t xml:space="preserve"> </w:t>
      </w:r>
      <w:r w:rsidR="002B1F87" w:rsidRPr="009A3DB4">
        <w:rPr>
          <w:rFonts w:cstheme="minorHAnsi"/>
          <w:color w:val="000000"/>
        </w:rPr>
        <w:t xml:space="preserve">to </w:t>
      </w:r>
      <w:r w:rsidRPr="009A3DB4">
        <w:rPr>
          <w:rFonts w:cstheme="minorHAnsi"/>
        </w:rPr>
        <w:t>develop a population PK (popPK) model of IV posaconazole in critically ill patients admitted to the ICU</w:t>
      </w:r>
      <w:r w:rsidR="00C71924">
        <w:rPr>
          <w:rFonts w:cstheme="minorHAnsi"/>
        </w:rPr>
        <w:t>. Simulations were performed</w:t>
      </w:r>
      <w:r w:rsidR="006478DE">
        <w:rPr>
          <w:rFonts w:cstheme="minorHAnsi"/>
        </w:rPr>
        <w:t xml:space="preserve"> </w:t>
      </w:r>
      <w:r w:rsidR="002B1F87" w:rsidRPr="009A3DB4">
        <w:rPr>
          <w:rFonts w:cstheme="minorHAnsi"/>
          <w:color w:val="000000"/>
        </w:rPr>
        <w:t xml:space="preserve">to </w:t>
      </w:r>
      <w:r w:rsidRPr="009A3DB4">
        <w:rPr>
          <w:rFonts w:eastAsia="Lato-Regular" w:cstheme="minorHAnsi"/>
        </w:rPr>
        <w:t>provide an optimized</w:t>
      </w:r>
      <w:r w:rsidR="00DC53B3" w:rsidRPr="009A3DB4">
        <w:rPr>
          <w:rFonts w:eastAsia="Lato-Regular" w:cstheme="minorHAnsi"/>
        </w:rPr>
        <w:t xml:space="preserve"> loading and maintenance</w:t>
      </w:r>
      <w:r w:rsidRPr="009A3DB4">
        <w:rPr>
          <w:rFonts w:eastAsia="Lato-Regular" w:cstheme="minorHAnsi"/>
        </w:rPr>
        <w:t xml:space="preserve"> dosing </w:t>
      </w:r>
      <w:r w:rsidR="0074462A" w:rsidRPr="009A3DB4">
        <w:rPr>
          <w:rFonts w:eastAsia="Lato-Regular" w:cstheme="minorHAnsi"/>
        </w:rPr>
        <w:t>regimen that</w:t>
      </w:r>
      <w:r w:rsidRPr="009A3DB4">
        <w:rPr>
          <w:rFonts w:eastAsia="Lato-Regular" w:cstheme="minorHAnsi"/>
        </w:rPr>
        <w:t xml:space="preserve"> ensures adequate treatment target attainment.</w:t>
      </w:r>
      <w:r w:rsidR="00386923" w:rsidRPr="009A3DB4">
        <w:rPr>
          <w:b/>
          <w:sz w:val="36"/>
        </w:rPr>
        <w:br w:type="page"/>
      </w:r>
    </w:p>
    <w:p w14:paraId="290ABF6B" w14:textId="5B982528" w:rsidR="008937A4" w:rsidRPr="009A3DB4" w:rsidRDefault="00775DEB" w:rsidP="00F14F49">
      <w:pPr>
        <w:pStyle w:val="Heading1"/>
        <w:numPr>
          <w:ilvl w:val="0"/>
          <w:numId w:val="19"/>
        </w:numPr>
      </w:pPr>
      <w:r w:rsidRPr="009A3DB4">
        <w:lastRenderedPageBreak/>
        <w:t>Patients and m</w:t>
      </w:r>
      <w:r w:rsidR="008937A4" w:rsidRPr="009A3DB4">
        <w:t>ethods</w:t>
      </w:r>
    </w:p>
    <w:p w14:paraId="3C271694" w14:textId="76D64F49" w:rsidR="008937A4" w:rsidRPr="009A3DB4" w:rsidRDefault="000B21F6" w:rsidP="00DC57F4">
      <w:pPr>
        <w:pStyle w:val="Heading2"/>
      </w:pPr>
      <w:r w:rsidRPr="009A3DB4">
        <w:t>2.1</w:t>
      </w:r>
      <w:r w:rsidR="008272DD" w:rsidRPr="009A3DB4">
        <w:t>.</w:t>
      </w:r>
      <w:r w:rsidR="008272DD" w:rsidRPr="009A3DB4">
        <w:tab/>
        <w:t>Data</w:t>
      </w:r>
    </w:p>
    <w:p w14:paraId="4C6ED7C5" w14:textId="583A5F01" w:rsidR="00AD3B19" w:rsidRPr="009A3DB4" w:rsidRDefault="00DA742F" w:rsidP="00AC672B">
      <w:pPr>
        <w:autoSpaceDE w:val="0"/>
        <w:autoSpaceDN w:val="0"/>
        <w:adjustRightInd w:val="0"/>
        <w:spacing w:after="0" w:line="480" w:lineRule="auto"/>
        <w:jc w:val="both"/>
        <w:rPr>
          <w:rFonts w:cstheme="minorHAnsi"/>
        </w:rPr>
      </w:pPr>
      <w:r w:rsidRPr="009A3DB4">
        <w:rPr>
          <w:rFonts w:cstheme="minorHAnsi"/>
        </w:rPr>
        <w:t>Data w</w:t>
      </w:r>
      <w:r w:rsidR="00D64D80" w:rsidRPr="009A3DB4">
        <w:rPr>
          <w:rFonts w:cstheme="minorHAnsi"/>
        </w:rPr>
        <w:t xml:space="preserve">ere </w:t>
      </w:r>
      <w:r w:rsidRPr="009A3DB4">
        <w:rPr>
          <w:rFonts w:cstheme="minorHAnsi"/>
        </w:rPr>
        <w:t xml:space="preserve">obtained from the POSA-FLU </w:t>
      </w:r>
      <w:r w:rsidR="00C71924">
        <w:rPr>
          <w:rFonts w:cstheme="minorHAnsi"/>
        </w:rPr>
        <w:t>trial</w:t>
      </w:r>
      <w:r w:rsidR="00C71924" w:rsidRPr="009A3DB4">
        <w:rPr>
          <w:rFonts w:cstheme="minorHAnsi"/>
        </w:rPr>
        <w:t xml:space="preserve"> </w:t>
      </w:r>
      <w:r w:rsidRPr="009A3DB4">
        <w:rPr>
          <w:rFonts w:cstheme="minorHAnsi"/>
          <w:bCs/>
        </w:rPr>
        <w:t>(NCT03378479).</w:t>
      </w:r>
      <w:r w:rsidR="002F3E00" w:rsidRPr="009A3DB4">
        <w:rPr>
          <w:rFonts w:cstheme="minorHAnsi"/>
          <w:bCs/>
        </w:rPr>
        <w:t xml:space="preserve"> </w:t>
      </w:r>
      <w:r w:rsidR="004044F6" w:rsidRPr="009A3DB4">
        <w:rPr>
          <w:rFonts w:cstheme="minorHAnsi"/>
        </w:rPr>
        <w:t>P</w:t>
      </w:r>
      <w:r w:rsidR="002F3E00" w:rsidRPr="009A3DB4">
        <w:rPr>
          <w:rFonts w:cstheme="minorHAnsi"/>
        </w:rPr>
        <w:t>atients enrolled in this prospective</w:t>
      </w:r>
      <w:r w:rsidR="00270BAC" w:rsidRPr="009A3DB4">
        <w:rPr>
          <w:rFonts w:cstheme="minorHAnsi"/>
          <w:bCs/>
        </w:rPr>
        <w:t xml:space="preserve"> </w:t>
      </w:r>
      <w:r w:rsidR="00E11500" w:rsidRPr="009A3DB4">
        <w:rPr>
          <w:rFonts w:cstheme="minorHAnsi"/>
          <w:bCs/>
        </w:rPr>
        <w:t>multicenter</w:t>
      </w:r>
      <w:r w:rsidR="00270BAC" w:rsidRPr="009A3DB4">
        <w:rPr>
          <w:rFonts w:cstheme="minorHAnsi"/>
          <w:bCs/>
        </w:rPr>
        <w:t>, randomized, open</w:t>
      </w:r>
      <w:r w:rsidR="00613CFF" w:rsidRPr="009A3DB4">
        <w:rPr>
          <w:rFonts w:cstheme="minorHAnsi"/>
          <w:bCs/>
        </w:rPr>
        <w:t>-</w:t>
      </w:r>
      <w:r w:rsidR="00270BAC" w:rsidRPr="009A3DB4">
        <w:rPr>
          <w:rFonts w:cstheme="minorHAnsi"/>
          <w:bCs/>
        </w:rPr>
        <w:t xml:space="preserve">label study to </w:t>
      </w:r>
      <w:r w:rsidR="008438C8" w:rsidRPr="009A3DB4">
        <w:rPr>
          <w:rFonts w:cstheme="minorHAnsi"/>
          <w:bCs/>
        </w:rPr>
        <w:t>assess</w:t>
      </w:r>
      <w:r w:rsidR="00D64D80" w:rsidRPr="009A3DB4">
        <w:rPr>
          <w:rFonts w:cstheme="minorHAnsi"/>
          <w:bCs/>
        </w:rPr>
        <w:t xml:space="preserve"> </w:t>
      </w:r>
      <w:r w:rsidR="002B1F87" w:rsidRPr="009A3DB4">
        <w:rPr>
          <w:rFonts w:cstheme="minorHAnsi"/>
          <w:bCs/>
        </w:rPr>
        <w:t xml:space="preserve">the efficacy of </w:t>
      </w:r>
      <w:r w:rsidR="00D64D80" w:rsidRPr="009A3DB4">
        <w:rPr>
          <w:rFonts w:cstheme="minorHAnsi"/>
          <w:bCs/>
        </w:rPr>
        <w:t>IV</w:t>
      </w:r>
      <w:r w:rsidR="00270BAC" w:rsidRPr="009A3DB4">
        <w:rPr>
          <w:rFonts w:cstheme="minorHAnsi"/>
          <w:bCs/>
        </w:rPr>
        <w:t xml:space="preserve"> posaconazole as a prophylactic agent for IAPA</w:t>
      </w:r>
      <w:r w:rsidR="00862324" w:rsidRPr="009A3DB4">
        <w:rPr>
          <w:rFonts w:cstheme="minorHAnsi"/>
          <w:bCs/>
        </w:rPr>
        <w:t xml:space="preserve"> </w:t>
      </w:r>
      <w:r w:rsidR="00862324" w:rsidRPr="009A3DB4">
        <w:rPr>
          <w:rFonts w:cstheme="minorHAnsi"/>
          <w:bCs/>
        </w:rPr>
        <w:fldChar w:fldCharType="begin"/>
      </w:r>
      <w:r w:rsidR="00C6202C">
        <w:rPr>
          <w:rFonts w:cstheme="minorHAnsi"/>
          <w:bCs/>
        </w:rPr>
        <w:instrText xml:space="preserve"> ADDIN ZOTERO_ITEM CSL_CITATION {"citationID":"KhYQFljE","properties":{"formattedCitation":"[9]","plainCitation":"[9]","noteIndex":0},"citationItems":[{"id":12957,"uris":["http://zotero.org/users/7911495/items/K35R2AXC",["http://zotero.org/users/7911495/items/K35R2AXC"],["http://zotero.org/users/7911495/items/K35R2AXC",["http://zotero.org/users/7911495/items/K35R2AXC"]]],"itemData":{"id":12957,"type":"article-journal","abstract":"Purpose\nInfluenza-associated pulmonary aspergillosis (IAPA) is a frequent complication in critically ill influenza patients, associated with significant mortality. We investigated whether antifungal prophylaxis reduces the incidence of IAPA.\n\nMethods\nWe compared 7 days of intravenous posaconazole (POS) prophylaxis with no prophylaxis (standard-of-care only, SOC) in a randomised, open-label, proof-of-concept trial in patients admitted to an intensive care unit (ICU) with respiratory failure due to influenza (ClinicalTrials.gov, NCT03378479). Adult patients with PCR-confirmed influenza were block randomised (1:1) within 10 days of symptoms onset and 48 h of ICU admission. The primary endpoint was the incidence of IAPA during ICU stay in patients who did not have IAPA within 48 h of ICU admission (modified intention-to-treat (MITT) population).\n\nResults\nEighty-eight critically ill influenza patients were randomly allocated to POS or SOC. IAPA occurred in 21 cases (24%), the majority of which (71%, 15/21) were diagnosed within 48 h of ICU admission, excluding them from the MITT population. The incidence of IAPA was not significantly reduced in the POS arm (5.4%, 2/37) compared with SOC (11.1%, 4/36; between-group difference 5.7%; 95% CI − 10.8 to 21.7; p = 0.32). ICU mortality of early IAPA was high (53%), despite rapid antifungal treatment.\n\nConclusion\nThe higher than expected incidence of early IAPA precludes any definite conclusion on POS prophylaxis. High mortality of early IAPA, despite timely antifungal therapy, indicates that alternative management strategies are required. After 48 h, still 11% of patients developed IAPA. As these could benefit from prophylaxis, differentiated strategies are likely needed to manage IAPA in the ICU.\n\nSupplementary Information\nThe online version contains supplementary material available at 10.1007/s00134-021-06431-0.","container-title":"Intensive Care Medicine","DOI":"10.1007/s00134-021-06431-0","ISSN":"0342-4642","issue":"6","journalAbbreviation":"Intensive Care Med","note":"PMID: 34050768\nPMCID: PMC8164057","page":"674-686","source":"PubMed Central","title":"Posaconazole for prevention of invasive pulmonary aspergillosis in critically ill influenza patients (POSA-FLU): a randomised, open-label, proof-of-concept trial","title-short":"Posaconazole for prevention of invasive pulmonary aspergillosis in critically ill influenza patients (POSA-FLU)","volume":"47","author":[{"family":"Vanderbeke","given":"Lore"},{"family":"Janssen","given":"Nico A. F."},{"family":"Bergmans","given":"Dennis C. J. J."},{"family":"Bourgeois","given":"Marc"},{"family":"Buil","given":"Jochem B."},{"family":"Debaveye","given":"Yves"},{"family":"Depuydt","given":"Pieter"},{"family":"Feys","given":"Simon"},{"family":"Hermans","given":"Greet"},{"family":"Hoiting","given":"Oscar"},{"family":"Hoven","given":"Ben","non-dropping-particle":"van der"},{"family":"Jacobs","given":"Cato"},{"family":"Lagrou","given":"Katrien"},{"family":"Lemiale","given":"Virginie"},{"family":"Lormans","given":"Piet"},{"family":"Maertens","given":"Johan"},{"family":"Meersseman","given":"Philippe"},{"family":"Mégarbane","given":"Bruno"},{"family":"Nseir","given":"Saad"},{"family":"Oers","given":"Jos A. H.","non-dropping-particle":"van"},{"family":"Reynders","given":"Marijke"},{"family":"Rijnders","given":"Bart J. A."},{"family":"Schouten","given":"Jeroen A."},{"family":"Spriet","given":"Isabel"},{"family":"Thevissen","given":"Karin"},{"family":"Thille","given":"Arnaud W."},{"family":"Van Daele","given":"Ruth"},{"family":"Veerdonk","given":"Frank L.","non-dropping-particle":"van de"},{"family":"Verweij","given":"Paul E."},{"family":"Wilmer","given":"Alexander"},{"family":"Brüggemann","given":"Roger J. M."},{"family":"Wauters","given":"Joost"}],"issued":{"date-parts":[["2021"]]}}}],"schema":"https://github.com/citation-style-language/schema/raw/master/csl-citation.json"} </w:instrText>
      </w:r>
      <w:r w:rsidR="00862324" w:rsidRPr="009A3DB4">
        <w:rPr>
          <w:rFonts w:cstheme="minorHAnsi"/>
          <w:bCs/>
        </w:rPr>
        <w:fldChar w:fldCharType="separate"/>
      </w:r>
      <w:r w:rsidR="00C6202C">
        <w:rPr>
          <w:rFonts w:cstheme="minorHAnsi"/>
          <w:bCs/>
        </w:rPr>
        <w:t>[9]</w:t>
      </w:r>
      <w:r w:rsidR="00862324" w:rsidRPr="009A3DB4">
        <w:rPr>
          <w:rFonts w:cstheme="minorHAnsi"/>
          <w:bCs/>
        </w:rPr>
        <w:fldChar w:fldCharType="end"/>
      </w:r>
      <w:r w:rsidR="00270BAC" w:rsidRPr="009A3DB4">
        <w:rPr>
          <w:rFonts w:cstheme="minorHAnsi"/>
          <w:bCs/>
        </w:rPr>
        <w:t xml:space="preserve">. The study was performed in </w:t>
      </w:r>
      <w:r w:rsidR="007F0212" w:rsidRPr="009A3DB4">
        <w:rPr>
          <w:rFonts w:cstheme="minorHAnsi"/>
          <w:bCs/>
        </w:rPr>
        <w:t>nine</w:t>
      </w:r>
      <w:r w:rsidR="00270BAC" w:rsidRPr="009A3DB4">
        <w:rPr>
          <w:rFonts w:cstheme="minorHAnsi"/>
          <w:bCs/>
        </w:rPr>
        <w:t xml:space="preserve"> </w:t>
      </w:r>
      <w:r w:rsidR="009B7D25" w:rsidRPr="009A3DB4">
        <w:rPr>
          <w:rFonts w:cstheme="minorHAnsi"/>
          <w:bCs/>
        </w:rPr>
        <w:t>centers</w:t>
      </w:r>
      <w:r w:rsidR="00270BAC" w:rsidRPr="009A3DB4">
        <w:rPr>
          <w:rFonts w:cstheme="minorHAnsi"/>
          <w:bCs/>
        </w:rPr>
        <w:t xml:space="preserve"> </w:t>
      </w:r>
      <w:r w:rsidR="007F0212" w:rsidRPr="009A3DB4">
        <w:rPr>
          <w:rFonts w:cstheme="minorHAnsi"/>
          <w:bCs/>
        </w:rPr>
        <w:t>in</w:t>
      </w:r>
      <w:r w:rsidR="00270BAC" w:rsidRPr="009A3DB4">
        <w:rPr>
          <w:rFonts w:cstheme="minorHAnsi"/>
          <w:bCs/>
        </w:rPr>
        <w:t xml:space="preserve"> The Netherlands, </w:t>
      </w:r>
      <w:r w:rsidR="00372DBD" w:rsidRPr="009A3DB4">
        <w:rPr>
          <w:rFonts w:cstheme="minorHAnsi"/>
          <w:bCs/>
        </w:rPr>
        <w:t>Belgium,</w:t>
      </w:r>
      <w:r w:rsidR="00270BAC" w:rsidRPr="009A3DB4">
        <w:rPr>
          <w:rFonts w:cstheme="minorHAnsi"/>
          <w:bCs/>
        </w:rPr>
        <w:t xml:space="preserve"> and France </w:t>
      </w:r>
      <w:r w:rsidR="00D64D80" w:rsidRPr="009A3DB4">
        <w:rPr>
          <w:rFonts w:cstheme="minorHAnsi"/>
          <w:bCs/>
        </w:rPr>
        <w:t>between</w:t>
      </w:r>
      <w:r w:rsidR="00270BAC" w:rsidRPr="009A3DB4">
        <w:rPr>
          <w:rFonts w:cstheme="minorHAnsi"/>
          <w:bCs/>
        </w:rPr>
        <w:t xml:space="preserve"> December 2017 </w:t>
      </w:r>
      <w:r w:rsidR="00D64D80" w:rsidRPr="009A3DB4">
        <w:rPr>
          <w:rFonts w:cstheme="minorHAnsi"/>
          <w:bCs/>
        </w:rPr>
        <w:t xml:space="preserve">and </w:t>
      </w:r>
      <w:r w:rsidR="00270BAC" w:rsidRPr="009A3DB4">
        <w:rPr>
          <w:rFonts w:cstheme="minorHAnsi"/>
          <w:bCs/>
        </w:rPr>
        <w:t>March 2020.</w:t>
      </w:r>
      <w:r w:rsidR="00C510C8" w:rsidRPr="009A3DB4">
        <w:rPr>
          <w:rFonts w:cstheme="minorHAnsi"/>
          <w:bCs/>
        </w:rPr>
        <w:t xml:space="preserve"> </w:t>
      </w:r>
      <w:r w:rsidR="005B1309">
        <w:rPr>
          <w:rFonts w:cstheme="minorHAnsi"/>
          <w:bCs/>
        </w:rPr>
        <w:t>E</w:t>
      </w:r>
      <w:r w:rsidR="00C510C8" w:rsidRPr="009A3DB4">
        <w:rPr>
          <w:rFonts w:cstheme="minorHAnsi"/>
          <w:bCs/>
        </w:rPr>
        <w:t>thic</w:t>
      </w:r>
      <w:r w:rsidR="007F0212" w:rsidRPr="009A3DB4">
        <w:rPr>
          <w:rFonts w:cstheme="minorHAnsi"/>
          <w:bCs/>
        </w:rPr>
        <w:t>s</w:t>
      </w:r>
      <w:r w:rsidR="00C510C8" w:rsidRPr="009A3DB4">
        <w:rPr>
          <w:rFonts w:cstheme="minorHAnsi"/>
          <w:bCs/>
        </w:rPr>
        <w:t xml:space="preserve"> committees </w:t>
      </w:r>
      <w:r w:rsidR="005B1309">
        <w:rPr>
          <w:rFonts w:cstheme="minorHAnsi"/>
          <w:bCs/>
        </w:rPr>
        <w:t>approved the study and w</w:t>
      </w:r>
      <w:r w:rsidR="00C510C8" w:rsidRPr="009A3DB4">
        <w:rPr>
          <w:rFonts w:cstheme="minorHAnsi"/>
        </w:rPr>
        <w:t xml:space="preserve">ritten informed consent was </w:t>
      </w:r>
      <w:r w:rsidR="00F9780C" w:rsidRPr="009A3DB4">
        <w:rPr>
          <w:rFonts w:cstheme="minorHAnsi"/>
        </w:rPr>
        <w:t xml:space="preserve">obtained </w:t>
      </w:r>
      <w:r w:rsidR="00C510C8" w:rsidRPr="009A3DB4">
        <w:rPr>
          <w:rFonts w:cstheme="minorHAnsi"/>
        </w:rPr>
        <w:t xml:space="preserve">from each patient or their legal representative </w:t>
      </w:r>
      <w:r w:rsidR="00F9780C" w:rsidRPr="009A3DB4">
        <w:rPr>
          <w:rFonts w:cstheme="minorHAnsi"/>
        </w:rPr>
        <w:t>before</w:t>
      </w:r>
      <w:r w:rsidR="00C510C8" w:rsidRPr="009A3DB4">
        <w:rPr>
          <w:rFonts w:cstheme="minorHAnsi"/>
        </w:rPr>
        <w:t xml:space="preserve"> enrolment.</w:t>
      </w:r>
    </w:p>
    <w:p w14:paraId="7F959C88" w14:textId="26B10461" w:rsidR="00637AD9" w:rsidRPr="009A3DB4" w:rsidRDefault="00AD3B19" w:rsidP="00AD3B19">
      <w:pPr>
        <w:autoSpaceDE w:val="0"/>
        <w:autoSpaceDN w:val="0"/>
        <w:adjustRightInd w:val="0"/>
        <w:spacing w:after="0" w:line="480" w:lineRule="auto"/>
        <w:jc w:val="both"/>
        <w:rPr>
          <w:rFonts w:cstheme="minorHAnsi"/>
        </w:rPr>
      </w:pPr>
      <w:r w:rsidRPr="009A3DB4">
        <w:rPr>
          <w:rFonts w:cstheme="minorHAnsi"/>
          <w:color w:val="000000" w:themeColor="text1"/>
        </w:rPr>
        <w:t xml:space="preserve">Information on drug prescriptions, sampling times, and covariates was retrieved from the </w:t>
      </w:r>
      <w:r w:rsidRPr="009A3DB4">
        <w:rPr>
          <w:rFonts w:cstheme="minorHAnsi"/>
          <w:color w:val="000000"/>
        </w:rPr>
        <w:t>electronic health record</w:t>
      </w:r>
      <w:r w:rsidR="00613CFF" w:rsidRPr="009A3DB4">
        <w:rPr>
          <w:rFonts w:cstheme="minorHAnsi"/>
          <w:color w:val="000000"/>
        </w:rPr>
        <w:t>s</w:t>
      </w:r>
      <w:r w:rsidRPr="009A3DB4">
        <w:rPr>
          <w:rFonts w:cstheme="minorHAnsi"/>
          <w:color w:val="000000"/>
        </w:rPr>
        <w:t>.</w:t>
      </w:r>
      <w:r w:rsidRPr="009A3DB4">
        <w:rPr>
          <w:rFonts w:cstheme="minorHAnsi"/>
        </w:rPr>
        <w:t xml:space="preserve"> </w:t>
      </w:r>
      <w:r w:rsidR="00D062F8">
        <w:rPr>
          <w:rFonts w:cstheme="minorHAnsi"/>
        </w:rPr>
        <w:t xml:space="preserve">Standard </w:t>
      </w:r>
      <w:r w:rsidR="00D062F8" w:rsidRPr="009A3DB4">
        <w:rPr>
          <w:rFonts w:cstheme="minorHAnsi"/>
          <w:color w:val="000000" w:themeColor="text1"/>
        </w:rPr>
        <w:t>300</w:t>
      </w:r>
      <w:r w:rsidR="00D062F8">
        <w:rPr>
          <w:rFonts w:cstheme="minorHAnsi"/>
          <w:color w:val="000000" w:themeColor="text1"/>
        </w:rPr>
        <w:t> </w:t>
      </w:r>
      <w:r w:rsidR="009911CE" w:rsidRPr="009A3DB4">
        <w:rPr>
          <w:rFonts w:cstheme="minorHAnsi"/>
          <w:color w:val="000000" w:themeColor="text1"/>
        </w:rPr>
        <w:t>mg</w:t>
      </w:r>
      <w:r w:rsidR="00D062F8">
        <w:rPr>
          <w:rFonts w:cstheme="minorHAnsi"/>
          <w:color w:val="000000" w:themeColor="text1"/>
        </w:rPr>
        <w:t xml:space="preserve"> IV</w:t>
      </w:r>
      <w:r w:rsidR="00DD2273">
        <w:rPr>
          <w:rFonts w:cstheme="minorHAnsi"/>
          <w:color w:val="000000" w:themeColor="text1"/>
        </w:rPr>
        <w:t xml:space="preserve"> posaconazole</w:t>
      </w:r>
      <w:r w:rsidR="00D062F8">
        <w:rPr>
          <w:rFonts w:cstheme="minorHAnsi"/>
          <w:color w:val="000000" w:themeColor="text1"/>
        </w:rPr>
        <w:t xml:space="preserve"> infusions over 90 minutes every 12 hours</w:t>
      </w:r>
      <w:r w:rsidR="009911CE" w:rsidRPr="009A3DB4">
        <w:rPr>
          <w:rFonts w:cstheme="minorHAnsi"/>
          <w:color w:val="000000" w:themeColor="text1"/>
        </w:rPr>
        <w:t xml:space="preserve"> </w:t>
      </w:r>
      <w:r w:rsidR="00D062F8">
        <w:rPr>
          <w:rFonts w:cstheme="minorHAnsi"/>
          <w:color w:val="000000" w:themeColor="text1"/>
        </w:rPr>
        <w:t>(</w:t>
      </w:r>
      <w:r w:rsidR="00385E3A" w:rsidRPr="009A3DB4">
        <w:rPr>
          <w:rFonts w:cstheme="minorHAnsi"/>
          <w:color w:val="000000" w:themeColor="text1"/>
        </w:rPr>
        <w:t>q12h</w:t>
      </w:r>
      <w:r w:rsidR="00D062F8">
        <w:rPr>
          <w:rFonts w:cstheme="minorHAnsi"/>
          <w:color w:val="000000" w:themeColor="text1"/>
        </w:rPr>
        <w:t>)</w:t>
      </w:r>
      <w:r w:rsidR="009911CE" w:rsidRPr="009A3DB4">
        <w:rPr>
          <w:rFonts w:cstheme="minorHAnsi"/>
          <w:color w:val="000000" w:themeColor="text1"/>
        </w:rPr>
        <w:t xml:space="preserve"> </w:t>
      </w:r>
      <w:r w:rsidR="00DD2273">
        <w:rPr>
          <w:rFonts w:cstheme="minorHAnsi"/>
          <w:color w:val="000000" w:themeColor="text1"/>
        </w:rPr>
        <w:t>on</w:t>
      </w:r>
      <w:r w:rsidR="00DD2273" w:rsidRPr="009A3DB4">
        <w:rPr>
          <w:rFonts w:cstheme="minorHAnsi"/>
          <w:color w:val="000000" w:themeColor="text1"/>
        </w:rPr>
        <w:t xml:space="preserve"> </w:t>
      </w:r>
      <w:r w:rsidR="009911CE" w:rsidRPr="009A3DB4">
        <w:rPr>
          <w:rFonts w:cstheme="minorHAnsi"/>
          <w:color w:val="000000" w:themeColor="text1"/>
        </w:rPr>
        <w:t>the first day as a loading dose and q</w:t>
      </w:r>
      <w:r w:rsidR="00385E3A" w:rsidRPr="009A3DB4">
        <w:rPr>
          <w:rFonts w:cstheme="minorHAnsi"/>
          <w:color w:val="000000" w:themeColor="text1"/>
        </w:rPr>
        <w:t>24h</w:t>
      </w:r>
      <w:r w:rsidR="00D062F8">
        <w:rPr>
          <w:rFonts w:cstheme="minorHAnsi"/>
          <w:color w:val="000000" w:themeColor="text1"/>
        </w:rPr>
        <w:t xml:space="preserve"> on the following days</w:t>
      </w:r>
      <w:r w:rsidR="009911CE" w:rsidRPr="009A3DB4">
        <w:rPr>
          <w:rFonts w:cstheme="minorHAnsi"/>
          <w:color w:val="000000" w:themeColor="text1"/>
        </w:rPr>
        <w:t xml:space="preserve"> as a maintenance dose</w:t>
      </w:r>
      <w:r w:rsidR="009911CE" w:rsidRPr="009A3DB4">
        <w:rPr>
          <w:rFonts w:eastAsia="Lato-Regular" w:cstheme="minorHAnsi"/>
        </w:rPr>
        <w:t xml:space="preserve"> </w:t>
      </w:r>
      <w:r w:rsidR="00D062F8">
        <w:rPr>
          <w:rFonts w:eastAsia="Lato-Regular" w:cstheme="minorHAnsi"/>
        </w:rPr>
        <w:t>were</w:t>
      </w:r>
      <w:r w:rsidR="00440723" w:rsidRPr="009A3DB4">
        <w:rPr>
          <w:rFonts w:cstheme="minorHAnsi"/>
        </w:rPr>
        <w:t xml:space="preserve"> administered</w:t>
      </w:r>
      <w:r w:rsidR="009911CE" w:rsidRPr="009A3DB4">
        <w:rPr>
          <w:rFonts w:cstheme="minorHAnsi"/>
        </w:rPr>
        <w:t xml:space="preserve"> </w:t>
      </w:r>
      <w:r w:rsidR="00D64D80" w:rsidRPr="009A3DB4">
        <w:rPr>
          <w:rFonts w:cstheme="minorHAnsi"/>
        </w:rPr>
        <w:t>as prophylaxis</w:t>
      </w:r>
      <w:r w:rsidR="00440723" w:rsidRPr="009A3DB4">
        <w:rPr>
          <w:rFonts w:cstheme="minorHAnsi"/>
        </w:rPr>
        <w:t xml:space="preserve"> for </w:t>
      </w:r>
      <w:r w:rsidR="00693F1E" w:rsidRPr="009A3DB4">
        <w:rPr>
          <w:rFonts w:cstheme="minorHAnsi"/>
        </w:rPr>
        <w:t>seven</w:t>
      </w:r>
      <w:r w:rsidR="00440723" w:rsidRPr="009A3DB4">
        <w:rPr>
          <w:rFonts w:cstheme="minorHAnsi"/>
        </w:rPr>
        <w:t xml:space="preserve"> days.</w:t>
      </w:r>
      <w:r w:rsidR="009E5428" w:rsidRPr="009A3DB4">
        <w:rPr>
          <w:rFonts w:cstheme="minorHAnsi"/>
        </w:rPr>
        <w:t xml:space="preserve"> </w:t>
      </w:r>
      <w:r w:rsidR="00440723" w:rsidRPr="009A3DB4">
        <w:rPr>
          <w:rFonts w:cstheme="minorHAnsi"/>
        </w:rPr>
        <w:t>Blood samples were collected during a 24-hour dosing interval on an early</w:t>
      </w:r>
      <w:r w:rsidR="005E69DF" w:rsidRPr="009A3DB4">
        <w:rPr>
          <w:rFonts w:cstheme="minorHAnsi"/>
        </w:rPr>
        <w:t xml:space="preserve"> day</w:t>
      </w:r>
      <w:r w:rsidR="00A87BEB" w:rsidRPr="009A3DB4">
        <w:rPr>
          <w:rFonts w:cstheme="minorHAnsi"/>
        </w:rPr>
        <w:t xml:space="preserve"> </w:t>
      </w:r>
      <w:r w:rsidR="00440723" w:rsidRPr="009A3DB4">
        <w:rPr>
          <w:rFonts w:cstheme="minorHAnsi"/>
        </w:rPr>
        <w:t>(</w:t>
      </w:r>
      <w:r w:rsidR="00AC6A6E" w:rsidRPr="009A3DB4">
        <w:rPr>
          <w:rFonts w:cstheme="minorHAnsi"/>
        </w:rPr>
        <w:t>d</w:t>
      </w:r>
      <w:r w:rsidR="00440723" w:rsidRPr="009A3DB4">
        <w:rPr>
          <w:rFonts w:cstheme="minorHAnsi"/>
        </w:rPr>
        <w:t>ay 2 or 3) and a late</w:t>
      </w:r>
      <w:r w:rsidR="00D64D80" w:rsidRPr="009A3DB4">
        <w:rPr>
          <w:rFonts w:cstheme="minorHAnsi"/>
        </w:rPr>
        <w:t>r</w:t>
      </w:r>
      <w:r w:rsidR="005E69DF" w:rsidRPr="009A3DB4">
        <w:rPr>
          <w:rFonts w:cstheme="minorHAnsi"/>
        </w:rPr>
        <w:t xml:space="preserve"> day</w:t>
      </w:r>
      <w:r w:rsidR="00440723" w:rsidRPr="009A3DB4">
        <w:rPr>
          <w:rFonts w:cstheme="minorHAnsi"/>
        </w:rPr>
        <w:t xml:space="preserve"> (≥</w:t>
      </w:r>
      <w:r w:rsidR="00AC6A6E" w:rsidRPr="009A3DB4">
        <w:rPr>
          <w:rFonts w:cstheme="minorHAnsi"/>
        </w:rPr>
        <w:t>d</w:t>
      </w:r>
      <w:r w:rsidR="00440723" w:rsidRPr="009A3DB4">
        <w:rPr>
          <w:rFonts w:cstheme="minorHAnsi"/>
        </w:rPr>
        <w:t>ay 4)</w:t>
      </w:r>
      <w:r w:rsidR="00613CFF" w:rsidRPr="009A3DB4">
        <w:rPr>
          <w:rFonts w:cstheme="minorHAnsi"/>
        </w:rPr>
        <w:t xml:space="preserve"> (</w:t>
      </w:r>
      <w:r w:rsidR="00613CFF" w:rsidRPr="009A3DB4">
        <w:rPr>
          <w:rFonts w:cstheme="minorHAnsi"/>
          <w:b/>
          <w:bCs/>
        </w:rPr>
        <w:t xml:space="preserve">Supplementary </w:t>
      </w:r>
      <w:r w:rsidR="004F7BB5" w:rsidRPr="009A3DB4">
        <w:rPr>
          <w:rFonts w:cstheme="minorHAnsi"/>
          <w:b/>
          <w:bCs/>
        </w:rPr>
        <w:t>Methods</w:t>
      </w:r>
      <w:r w:rsidR="00613CFF" w:rsidRPr="009A3DB4">
        <w:rPr>
          <w:rFonts w:cstheme="minorHAnsi"/>
        </w:rPr>
        <w:t>)</w:t>
      </w:r>
      <w:r w:rsidR="00440723" w:rsidRPr="009A3DB4">
        <w:rPr>
          <w:rFonts w:cstheme="minorHAnsi"/>
        </w:rPr>
        <w:t xml:space="preserve">. </w:t>
      </w:r>
      <w:r w:rsidR="005E6DDD" w:rsidRPr="009A3DB4">
        <w:rPr>
          <w:rFonts w:cstheme="minorHAnsi"/>
        </w:rPr>
        <w:t>A</w:t>
      </w:r>
      <w:r w:rsidR="00A25BEE" w:rsidRPr="009A3DB4">
        <w:rPr>
          <w:rFonts w:cstheme="minorHAnsi"/>
        </w:rPr>
        <w:t xml:space="preserve"> </w:t>
      </w:r>
      <w:r w:rsidR="005E6DDD" w:rsidRPr="009A3DB4">
        <w:rPr>
          <w:rFonts w:cstheme="minorHAnsi"/>
        </w:rPr>
        <w:t>d</w:t>
      </w:r>
      <w:r w:rsidR="00A25BEE" w:rsidRPr="009A3DB4">
        <w:rPr>
          <w:rFonts w:cstheme="minorHAnsi"/>
        </w:rPr>
        <w:t>etailed description of the trial design</w:t>
      </w:r>
      <w:r w:rsidR="005E6DDD" w:rsidRPr="009A3DB4">
        <w:rPr>
          <w:rFonts w:cstheme="minorHAnsi"/>
        </w:rPr>
        <w:t xml:space="preserve"> and methodology</w:t>
      </w:r>
      <w:r w:rsidR="00A25BEE" w:rsidRPr="009A3DB4">
        <w:rPr>
          <w:rFonts w:cstheme="minorHAnsi"/>
        </w:rPr>
        <w:t xml:space="preserve"> can be found in </w:t>
      </w:r>
      <w:proofErr w:type="spellStart"/>
      <w:r w:rsidR="005E6DDD" w:rsidRPr="009A3DB4">
        <w:rPr>
          <w:rFonts w:cstheme="minorHAnsi"/>
        </w:rPr>
        <w:t>Vanderbeke</w:t>
      </w:r>
      <w:proofErr w:type="spellEnd"/>
      <w:r w:rsidR="00A25BEE" w:rsidRPr="009A3DB4">
        <w:rPr>
          <w:rFonts w:cstheme="minorHAnsi"/>
        </w:rPr>
        <w:t xml:space="preserve"> </w:t>
      </w:r>
      <w:r w:rsidR="00A25BEE" w:rsidRPr="009A3DB4">
        <w:rPr>
          <w:rFonts w:cstheme="minorHAnsi"/>
          <w:i/>
          <w:iCs/>
        </w:rPr>
        <w:t>et al</w:t>
      </w:r>
      <w:r w:rsidR="005E6DDD" w:rsidRPr="009A3DB4">
        <w:rPr>
          <w:rFonts w:cstheme="minorHAnsi"/>
        </w:rPr>
        <w:t>.</w:t>
      </w:r>
      <w:r w:rsidR="00A25BEE" w:rsidRPr="009A3DB4">
        <w:rPr>
          <w:rFonts w:cstheme="minorHAnsi"/>
        </w:rPr>
        <w:t xml:space="preserve"> and </w:t>
      </w:r>
      <w:r w:rsidR="005E6DDD" w:rsidRPr="009A3DB4">
        <w:rPr>
          <w:rFonts w:cstheme="minorHAnsi"/>
        </w:rPr>
        <w:t xml:space="preserve">Van </w:t>
      </w:r>
      <w:proofErr w:type="spellStart"/>
      <w:r w:rsidR="005E6DDD" w:rsidRPr="009A3DB4">
        <w:rPr>
          <w:rFonts w:cstheme="minorHAnsi"/>
        </w:rPr>
        <w:t>Daele</w:t>
      </w:r>
      <w:proofErr w:type="spellEnd"/>
      <w:r w:rsidR="00A25BEE" w:rsidRPr="009A3DB4">
        <w:rPr>
          <w:rFonts w:cstheme="minorHAnsi"/>
        </w:rPr>
        <w:t xml:space="preserve"> </w:t>
      </w:r>
      <w:r w:rsidR="00A25BEE" w:rsidRPr="009A3DB4">
        <w:rPr>
          <w:rFonts w:cstheme="minorHAnsi"/>
          <w:i/>
          <w:iCs/>
        </w:rPr>
        <w:t>et al</w:t>
      </w:r>
      <w:r w:rsidR="005E6DDD" w:rsidRPr="009A3DB4">
        <w:rPr>
          <w:rFonts w:cstheme="minorHAnsi"/>
        </w:rPr>
        <w:t xml:space="preserve">. </w:t>
      </w:r>
      <w:r w:rsidR="005E6DDD" w:rsidRPr="009A3DB4">
        <w:rPr>
          <w:rFonts w:cstheme="minorHAnsi"/>
        </w:rPr>
        <w:fldChar w:fldCharType="begin"/>
      </w:r>
      <w:r w:rsidR="00C6202C">
        <w:rPr>
          <w:rFonts w:cstheme="minorHAnsi"/>
        </w:rPr>
        <w:instrText xml:space="preserve"> ADDIN ZOTERO_ITEM CSL_CITATION {"citationID":"o22hdboh","properties":{"formattedCitation":"[8,9]","plainCitation":"[8,9]","noteIndex":0},"citationItems":[{"id":12957,"uris":["http://zotero.org/users/7911495/items/K35R2AXC",["http://zotero.org/users/7911495/items/K35R2AXC"],["http://zotero.org/users/7911495/items/K35R2AXC",["http://zotero.org/users/7911495/items/K35R2AXC"]]],"itemData":{"id":12957,"type":"article-journal","abstract":"Purpose\nInfluenza-associated pulmonary aspergillosis (IAPA) is a frequent complication in critically ill influenza patients, associated with significant mortality. We investigated whether antifungal prophylaxis reduces the incidence of IAPA.\n\nMethods\nWe compared 7 days of intravenous posaconazole (POS) prophylaxis with no prophylaxis (standard-of-care only, SOC) in a randomised, open-label, proof-of-concept trial in patients admitted to an intensive care unit (ICU) with respiratory failure due to influenza (ClinicalTrials.gov, NCT03378479). Adult patients with PCR-confirmed influenza were block randomised (1:1) within 10 days of symptoms onset and 48 h of ICU admission. The primary endpoint was the incidence of IAPA during ICU stay in patients who did not have IAPA within 48 h of ICU admission (modified intention-to-treat (MITT) population).\n\nResults\nEighty-eight critically ill influenza patients were randomly allocated to POS or SOC. IAPA occurred in 21 cases (24%), the majority of which (71%, 15/21) were diagnosed within 48 h of ICU admission, excluding them from the MITT population. The incidence of IAPA was not significantly reduced in the POS arm (5.4%, 2/37) compared with SOC (11.1%, 4/36; between-group difference 5.7%; 95% CI − 10.8 to 21.7; p = 0.32). ICU mortality of early IAPA was high (53%), despite rapid antifungal treatment.\n\nConclusion\nThe higher than expected incidence of early IAPA precludes any definite conclusion on POS prophylaxis. High mortality of early IAPA, despite timely antifungal therapy, indicates that alternative management strategies are required. After 48 h, still 11% of patients developed IAPA. As these could benefit from prophylaxis, differentiated strategies are likely needed to manage IAPA in the ICU.\n\nSupplementary Information\nThe online version contains supplementary material available at 10.1007/s00134-021-06431-0.","container-title":"Intensive Care Medicine","DOI":"10.1007/s00134-021-06431-0","ISSN":"0342-4642","issue":"6","journalAbbreviation":"Intensive Care Med","note":"PMID: 34050768\nPMCID: PMC8164057","page":"674-686","source":"PubMed Central","title":"Posaconazole for prevention of invasive pulmonary aspergillosis in critically ill influenza patients (POSA-FLU): a randomised, open-label, proof-of-concept trial","title-short":"Posaconazole for prevention of invasive pulmonary aspergillosis in critically ill influenza patients (POSA-FLU)","volume":"47","author":[{"family":"Vanderbeke","given":"Lore"},{"family":"Janssen","given":"Nico A. F."},{"family":"Bergmans","given":"Dennis C. J. J."},{"family":"Bourgeois","given":"Marc"},{"family":"Buil","given":"Jochem B."},{"family":"Debaveye","given":"Yves"},{"family":"Depuydt","given":"Pieter"},{"family":"Feys","given":"Simon"},{"family":"Hermans","given":"Greet"},{"family":"Hoiting","given":"Oscar"},{"family":"Hoven","given":"Ben","non-dropping-particle":"van der"},{"family":"Jacobs","given":"Cato"},{"family":"Lagrou","given":"Katrien"},{"family":"Lemiale","given":"Virginie"},{"family":"Lormans","given":"Piet"},{"family":"Maertens","given":"Johan"},{"family":"Meersseman","given":"Philippe"},{"family":"Mégarbane","given":"Bruno"},{"family":"Nseir","given":"Saad"},{"family":"Oers","given":"Jos A. H.","non-dropping-particle":"van"},{"family":"Reynders","given":"Marijke"},{"family":"Rijnders","given":"Bart J. A."},{"family":"Schouten","given":"Jeroen A."},{"family":"Spriet","given":"Isabel"},{"family":"Thevissen","given":"Karin"},{"family":"Thille","given":"Arnaud W."},{"family":"Van Daele","given":"Ruth"},{"family":"Veerdonk","given":"Frank L.","non-dropping-particle":"van de"},{"family":"Verweij","given":"Paul E."},{"family":"Wilmer","given":"Alexander"},{"family":"Brüggemann","given":"Roger J. M."},{"family":"Wauters","given":"Joost"}],"issued":{"date-parts":[["2021"]]}}},{"id":12937,"uris":["http://zotero.org/users/7911495/items/YSCYIQ98",["http://zotero.org/users/7911495/items/YSCYIQ98"]],"itemData":{"id":12937,"type":"article-journal","abstract":"Background Data on posaconazole in the critically ill are scarce. In the POSA-FLU study, we examined the prevention of influenza-associated pulmonary aspergillosis with posaconazole in this population. Methods In this observational sub-study, we performed a pharmacokinetic analysis, including protein binding and target attainment (TA). Blood samples were collected over a 24 h-dosing interval on both an early (Day 2 or 3) and a later (≥Day 4) treatment day. Results Target attainment was shown for AUC0-24 and Cmin prophylaxis but not for Cmin treatment. Moreover, a saturable protein binding with a significant, positive relationship between albumin concentrations and the maximum binding capacity was observed. Conclusions Our analysis indicates that posaconazole may be a suitable drug to further investigate for prophylaxis, as TA for prophylaxis was reached. Exposure targets for treatment were insufficiently attained in this population.","container-title":"Mycoses","DOI":"10.1111/myc.13446","ISSN":"1439-0507","issue":"6","language":"en","note":"_eprint: https://onlinelibrary.wiley.com/doi/pdf/10.1111/myc.13446","page":"656-660","source":"Wiley Online Library","title":"Exposure to intravenous posaconazole in critically ill patients with influenza: A pharmacokinetic analysis of the POSA-FLU study","title-short":"Exposure to intravenous posaconazole in critically ill patients with influenza","volume":"65","author":[{"family":"Van Daele","given":"Ruth"},{"family":"Wauters","given":"Joost"},{"family":"Dreesen","given":"Erwin"},{"family":"Boelens","given":"Jerina"},{"family":"Nulens","given":"Eric"},{"family":"Lormans","given":"Piet"},{"family":"Vanderbeke","given":"Lore"},{"family":"Jacobs","given":"Cato"},{"family":"Rijnders","given":"Bart"},{"family":"Verweij","given":"Paul E."},{"family":"Brüggemann","given":"Roger J."},{"family":"Spriet","given":"Isabel"}],"issued":{"date-parts":[["2022"]]}}}],"schema":"https://github.com/citation-style-language/schema/raw/master/csl-citation.json"} </w:instrText>
      </w:r>
      <w:r w:rsidR="005E6DDD" w:rsidRPr="009A3DB4">
        <w:rPr>
          <w:rFonts w:cstheme="minorHAnsi"/>
        </w:rPr>
        <w:fldChar w:fldCharType="separate"/>
      </w:r>
      <w:r w:rsidR="00C6202C">
        <w:rPr>
          <w:rFonts w:cstheme="minorHAnsi"/>
        </w:rPr>
        <w:t>[8,9]</w:t>
      </w:r>
      <w:r w:rsidR="005E6DDD" w:rsidRPr="009A3DB4">
        <w:rPr>
          <w:rFonts w:cstheme="minorHAnsi"/>
        </w:rPr>
        <w:fldChar w:fldCharType="end"/>
      </w:r>
      <w:r w:rsidR="00A25BEE" w:rsidRPr="009A3DB4">
        <w:rPr>
          <w:rFonts w:cstheme="minorHAnsi"/>
        </w:rPr>
        <w:t>.</w:t>
      </w:r>
    </w:p>
    <w:p w14:paraId="16645106" w14:textId="0C9B44F9" w:rsidR="0022235F" w:rsidRPr="009A3DB4" w:rsidRDefault="006E623F" w:rsidP="00DC57F4">
      <w:pPr>
        <w:pStyle w:val="Heading2"/>
      </w:pPr>
      <w:r w:rsidRPr="009A3DB4">
        <w:t>2.2.</w:t>
      </w:r>
      <w:r w:rsidR="008272DD" w:rsidRPr="009A3DB4">
        <w:tab/>
      </w:r>
      <w:r w:rsidR="00C24DAA" w:rsidRPr="009A3DB4">
        <w:t>Pop</w:t>
      </w:r>
      <w:r w:rsidR="000A73A8" w:rsidRPr="009A3DB4">
        <w:t xml:space="preserve">ulation </w:t>
      </w:r>
      <w:r w:rsidR="005D0831" w:rsidRPr="009A3DB4">
        <w:t xml:space="preserve">pharmacokinetics </w:t>
      </w:r>
      <w:r w:rsidR="00C24DAA" w:rsidRPr="009A3DB4">
        <w:t>modeling</w:t>
      </w:r>
    </w:p>
    <w:p w14:paraId="3E969D36" w14:textId="5A097DBA" w:rsidR="00DD2273" w:rsidRDefault="0061221F" w:rsidP="00CC0FA8">
      <w:pPr>
        <w:spacing w:line="480" w:lineRule="auto"/>
        <w:jc w:val="both"/>
      </w:pPr>
      <w:r w:rsidRPr="009A3DB4">
        <w:t xml:space="preserve">A </w:t>
      </w:r>
      <w:r w:rsidR="00267799" w:rsidRPr="009A3DB4">
        <w:t xml:space="preserve">base </w:t>
      </w:r>
      <w:r w:rsidRPr="009A3DB4">
        <w:t xml:space="preserve">popPK model was fit to the posaconazole concentration-time data. </w:t>
      </w:r>
      <w:r w:rsidR="00613CFF" w:rsidRPr="009A3DB4">
        <w:rPr>
          <w:rFonts w:cs="Times New Roman"/>
        </w:rPr>
        <w:t>Parameter estimation was performed using first-order conditional estimation with interaction (FOCE-I) and differential equation solver ADVAN 13.</w:t>
      </w:r>
      <w:r w:rsidR="00613CFF" w:rsidRPr="009A3DB4">
        <w:t xml:space="preserve"> </w:t>
      </w:r>
      <w:r w:rsidR="00DD2273">
        <w:t>Details on popPK model building</w:t>
      </w:r>
      <w:r w:rsidR="00F055D1">
        <w:t xml:space="preserve"> and evaluation</w:t>
      </w:r>
      <w:r w:rsidR="00DD2273">
        <w:t xml:space="preserve"> </w:t>
      </w:r>
      <w:r w:rsidR="00F055D1">
        <w:t xml:space="preserve">can be found in the </w:t>
      </w:r>
      <w:r w:rsidR="00F055D1" w:rsidRPr="00A3462B">
        <w:rPr>
          <w:b/>
          <w:bCs/>
        </w:rPr>
        <w:t>Supplementary Methods</w:t>
      </w:r>
      <w:r w:rsidR="00F055D1">
        <w:t>.</w:t>
      </w:r>
    </w:p>
    <w:p w14:paraId="610D8C91" w14:textId="60E2DE5C" w:rsidR="00ED014E" w:rsidRPr="009A3DB4" w:rsidRDefault="005F7AFC" w:rsidP="00DC57F4">
      <w:pPr>
        <w:pStyle w:val="Heading2"/>
        <w:numPr>
          <w:ilvl w:val="1"/>
          <w:numId w:val="19"/>
        </w:numPr>
      </w:pPr>
      <w:r w:rsidRPr="009A3DB4">
        <w:t xml:space="preserve">Dose finding </w:t>
      </w:r>
      <w:proofErr w:type="gramStart"/>
      <w:r w:rsidR="009D739F" w:rsidRPr="009A3DB4">
        <w:t>simulations</w:t>
      </w:r>
      <w:proofErr w:type="gramEnd"/>
    </w:p>
    <w:p w14:paraId="3A899AAC" w14:textId="27C8F1DD" w:rsidR="00F721B7" w:rsidRPr="009A3DB4" w:rsidRDefault="00F60572" w:rsidP="009F29D2">
      <w:pPr>
        <w:spacing w:line="480" w:lineRule="auto"/>
        <w:jc w:val="both"/>
        <w:rPr>
          <w:rFonts w:cstheme="minorHAnsi"/>
        </w:rPr>
      </w:pPr>
      <w:r w:rsidRPr="009A3DB4">
        <w:rPr>
          <w:rFonts w:cstheme="minorHAnsi"/>
        </w:rPr>
        <w:t>Monte Carlo simulations were performed using the final popPK model to evaluate</w:t>
      </w:r>
      <w:r w:rsidR="007E5271" w:rsidRPr="009A3DB4">
        <w:rPr>
          <w:rFonts w:cstheme="minorHAnsi"/>
        </w:rPr>
        <w:t xml:space="preserve"> </w:t>
      </w:r>
      <w:r w:rsidR="00107A2D" w:rsidRPr="009A3DB4">
        <w:rPr>
          <w:rFonts w:cstheme="minorHAnsi"/>
        </w:rPr>
        <w:t>seven</w:t>
      </w:r>
      <w:r w:rsidR="00A03EE6" w:rsidRPr="009A3DB4">
        <w:rPr>
          <w:rFonts w:cstheme="minorHAnsi"/>
        </w:rPr>
        <w:t xml:space="preserve"> </w:t>
      </w:r>
      <w:r w:rsidR="00FE3D08" w:rsidRPr="009A3DB4">
        <w:rPr>
          <w:rFonts w:cstheme="minorHAnsi"/>
        </w:rPr>
        <w:t xml:space="preserve">posaconazole </w:t>
      </w:r>
      <w:r w:rsidR="00B51A41" w:rsidRPr="009A3DB4">
        <w:rPr>
          <w:rFonts w:cstheme="minorHAnsi"/>
        </w:rPr>
        <w:t xml:space="preserve">dosing </w:t>
      </w:r>
      <w:r w:rsidR="00D351E5" w:rsidRPr="009A3DB4">
        <w:rPr>
          <w:rFonts w:cstheme="minorHAnsi"/>
        </w:rPr>
        <w:t xml:space="preserve">regimens </w:t>
      </w:r>
      <w:r w:rsidR="00B51A41" w:rsidRPr="009A3DB4">
        <w:rPr>
          <w:rFonts w:cstheme="minorHAnsi"/>
        </w:rPr>
        <w:t>(</w:t>
      </w:r>
      <w:r w:rsidR="00B51A41" w:rsidRPr="009A3DB4">
        <w:rPr>
          <w:rFonts w:cstheme="minorHAnsi"/>
          <w:b/>
          <w:bCs/>
        </w:rPr>
        <w:t xml:space="preserve">Table </w:t>
      </w:r>
      <w:r w:rsidR="00921287" w:rsidRPr="009A3DB4">
        <w:rPr>
          <w:rFonts w:cstheme="minorHAnsi"/>
          <w:b/>
          <w:bCs/>
        </w:rPr>
        <w:t>S1</w:t>
      </w:r>
      <w:r w:rsidR="00B51A41" w:rsidRPr="009A3DB4">
        <w:rPr>
          <w:rFonts w:cstheme="minorHAnsi"/>
        </w:rPr>
        <w:t xml:space="preserve">). </w:t>
      </w:r>
      <w:r w:rsidR="00C1118E" w:rsidRPr="009A3DB4">
        <w:rPr>
          <w:rFonts w:cstheme="minorHAnsi"/>
        </w:rPr>
        <w:t xml:space="preserve">Target attainment was defined based on </w:t>
      </w:r>
      <w:r w:rsidR="006A5C22" w:rsidRPr="009A3DB4">
        <w:rPr>
          <w:rFonts w:cstheme="minorHAnsi"/>
        </w:rPr>
        <w:t xml:space="preserve">the </w:t>
      </w:r>
      <w:proofErr w:type="spellStart"/>
      <w:r w:rsidR="00C1118E" w:rsidRPr="009A3DB4">
        <w:rPr>
          <w:rFonts w:cstheme="minorHAnsi"/>
        </w:rPr>
        <w:t>C</w:t>
      </w:r>
      <w:r w:rsidR="00C1118E" w:rsidRPr="009A3DB4">
        <w:rPr>
          <w:rFonts w:cstheme="minorHAnsi"/>
          <w:vertAlign w:val="subscript"/>
        </w:rPr>
        <w:t>min</w:t>
      </w:r>
      <w:proofErr w:type="spellEnd"/>
      <w:r w:rsidR="00C1118E" w:rsidRPr="009A3DB4">
        <w:rPr>
          <w:rFonts w:cstheme="minorHAnsi"/>
        </w:rPr>
        <w:t xml:space="preserve"> </w:t>
      </w:r>
      <w:r w:rsidR="00DB1B4C" w:rsidRPr="009A3DB4">
        <w:rPr>
          <w:rFonts w:cstheme="minorHAnsi"/>
        </w:rPr>
        <w:t xml:space="preserve">treatment </w:t>
      </w:r>
      <w:r w:rsidR="006A5C22" w:rsidRPr="009A3DB4">
        <w:rPr>
          <w:rFonts w:cstheme="minorHAnsi"/>
        </w:rPr>
        <w:t xml:space="preserve">target of </w:t>
      </w:r>
      <w:r w:rsidR="00C1118E" w:rsidRPr="009A3DB4">
        <w:rPr>
          <w:rFonts w:cstheme="minorHAnsi"/>
        </w:rPr>
        <w:t>1</w:t>
      </w:r>
      <w:r w:rsidR="0087046F" w:rsidRPr="009A3DB4">
        <w:rPr>
          <w:rFonts w:cstheme="minorHAnsi"/>
        </w:rPr>
        <w:t> </w:t>
      </w:r>
      <w:r w:rsidR="00C1118E" w:rsidRPr="009A3DB4">
        <w:rPr>
          <w:rFonts w:cstheme="minorHAnsi"/>
        </w:rPr>
        <w:t>mg/L</w:t>
      </w:r>
      <w:r w:rsidR="008917D5" w:rsidRPr="009A3DB4">
        <w:rPr>
          <w:rFonts w:cstheme="minorHAnsi"/>
        </w:rPr>
        <w:t xml:space="preserve"> and</w:t>
      </w:r>
      <w:r w:rsidR="008C7953" w:rsidRPr="009A3DB4">
        <w:rPr>
          <w:rFonts w:cstheme="minorHAnsi"/>
        </w:rPr>
        <w:t xml:space="preserve"> </w:t>
      </w:r>
      <w:r w:rsidR="008917D5" w:rsidRPr="009A3DB4">
        <w:rPr>
          <w:rFonts w:cstheme="minorHAnsi"/>
        </w:rPr>
        <w:t>t</w:t>
      </w:r>
      <w:r w:rsidR="009F01F2" w:rsidRPr="009A3DB4">
        <w:rPr>
          <w:rFonts w:cstheme="minorHAnsi"/>
        </w:rPr>
        <w:t>he AUC</w:t>
      </w:r>
      <w:r w:rsidR="009F01F2" w:rsidRPr="009A3DB4">
        <w:rPr>
          <w:rFonts w:cstheme="minorHAnsi"/>
          <w:vertAlign w:val="subscript"/>
        </w:rPr>
        <w:t>0-24</w:t>
      </w:r>
      <w:r w:rsidR="009F01F2" w:rsidRPr="009A3DB4">
        <w:rPr>
          <w:rFonts w:cstheme="minorHAnsi"/>
        </w:rPr>
        <w:t xml:space="preserve"> </w:t>
      </w:r>
      <w:r w:rsidR="008917D5" w:rsidRPr="009A3DB4">
        <w:rPr>
          <w:rFonts w:cstheme="minorHAnsi"/>
        </w:rPr>
        <w:t>target</w:t>
      </w:r>
      <w:r w:rsidR="00894FBC" w:rsidRPr="009A3DB4">
        <w:rPr>
          <w:rFonts w:cstheme="minorHAnsi"/>
        </w:rPr>
        <w:t xml:space="preserve"> of </w:t>
      </w:r>
      <w:r w:rsidR="009F01F2" w:rsidRPr="009A3DB4">
        <w:rPr>
          <w:rFonts w:cstheme="minorHAnsi"/>
        </w:rPr>
        <w:t>30</w:t>
      </w:r>
      <w:r w:rsidR="0087046F" w:rsidRPr="009A3DB4">
        <w:rPr>
          <w:rFonts w:cstheme="minorHAnsi"/>
        </w:rPr>
        <w:t> </w:t>
      </w:r>
      <w:proofErr w:type="spellStart"/>
      <w:r w:rsidR="009F01F2" w:rsidRPr="009A3DB4">
        <w:rPr>
          <w:rFonts w:cstheme="minorHAnsi"/>
        </w:rPr>
        <w:t>mg×h</w:t>
      </w:r>
      <w:proofErr w:type="spellEnd"/>
      <w:r w:rsidR="009F01F2" w:rsidRPr="009A3DB4">
        <w:rPr>
          <w:rFonts w:cstheme="minorHAnsi"/>
        </w:rPr>
        <w:t>/L</w:t>
      </w:r>
      <w:r w:rsidR="00C1118E" w:rsidRPr="009A3DB4">
        <w:rPr>
          <w:rFonts w:cstheme="minorHAnsi"/>
        </w:rPr>
        <w:t>.</w:t>
      </w:r>
      <w:r w:rsidR="002678B1" w:rsidRPr="009A3DB4">
        <w:rPr>
          <w:rFonts w:cstheme="minorHAnsi"/>
        </w:rPr>
        <w:t xml:space="preserve"> </w:t>
      </w:r>
      <w:r w:rsidR="002D3D83" w:rsidRPr="009A3DB4">
        <w:rPr>
          <w:rFonts w:cstheme="minorHAnsi"/>
        </w:rPr>
        <w:t xml:space="preserve">High posaconazole exposure was defined as </w:t>
      </w:r>
      <w:proofErr w:type="spellStart"/>
      <w:r w:rsidR="002D3D83" w:rsidRPr="009A3DB4">
        <w:rPr>
          <w:rFonts w:cstheme="minorHAnsi"/>
          <w:color w:val="000000" w:themeColor="text1"/>
        </w:rPr>
        <w:t>C</w:t>
      </w:r>
      <w:r w:rsidR="002D3D83" w:rsidRPr="009A3DB4">
        <w:rPr>
          <w:rFonts w:cstheme="minorHAnsi"/>
          <w:color w:val="000000" w:themeColor="text1"/>
          <w:vertAlign w:val="subscript"/>
        </w:rPr>
        <w:t>min</w:t>
      </w:r>
      <w:proofErr w:type="spellEnd"/>
      <w:r w:rsidR="002D3D83" w:rsidRPr="009A3DB4">
        <w:rPr>
          <w:rFonts w:cstheme="minorHAnsi"/>
          <w:color w:val="000000" w:themeColor="text1"/>
          <w:vertAlign w:val="subscript"/>
        </w:rPr>
        <w:t xml:space="preserve"> </w:t>
      </w:r>
      <w:r w:rsidR="002D3D83" w:rsidRPr="009A3DB4">
        <w:rPr>
          <w:color w:val="000000" w:themeColor="text1"/>
        </w:rPr>
        <w:t>≥3.75</w:t>
      </w:r>
      <w:r w:rsidR="0087046F" w:rsidRPr="009A3DB4">
        <w:rPr>
          <w:color w:val="000000" w:themeColor="text1"/>
        </w:rPr>
        <w:t> </w:t>
      </w:r>
      <w:r w:rsidR="002D3D83" w:rsidRPr="009A3DB4">
        <w:rPr>
          <w:color w:val="000000" w:themeColor="text1"/>
        </w:rPr>
        <w:t xml:space="preserve">mg/L </w:t>
      </w:r>
      <w:r w:rsidR="002D3D83" w:rsidRPr="009A3DB4">
        <w:rPr>
          <w:color w:val="000000" w:themeColor="text1"/>
        </w:rPr>
        <w:fldChar w:fldCharType="begin"/>
      </w:r>
      <w:r w:rsidR="00C6202C">
        <w:rPr>
          <w:color w:val="000000" w:themeColor="text1"/>
        </w:rPr>
        <w:instrText xml:space="preserve"> ADDIN ZOTERO_ITEM CSL_CITATION {"citationID":"lqEPhoGx","properties":{"formattedCitation":"[10]","plainCitation":"[10]","noteIndex":0},"citationItems":[{"id":10734,"uris":["http://zotero.org/users/7911495/items/8VMFVIWS",["http://zotero.org/users/7911495/items/8VMFVIWS"],["http://zotero.org/users/7911495/items/8VMFVIWS",["http://zotero.org/users/7911495/items/8VMFVIWS"]]],"itemData":{"id":10734,"type":"document","title":"noxafil-epar-product-information_en.pdf","URL":"https://www.ema.europa.eu/en/documents/product-information/noxafil-epar-product-information_en.pdf","accessed":{"date-parts":[["2022",12,6]]}}}],"schema":"https://github.com/citation-style-language/schema/raw/master/csl-citation.json"} </w:instrText>
      </w:r>
      <w:r w:rsidR="002D3D83" w:rsidRPr="009A3DB4">
        <w:rPr>
          <w:color w:val="000000" w:themeColor="text1"/>
        </w:rPr>
        <w:fldChar w:fldCharType="separate"/>
      </w:r>
      <w:r w:rsidR="00C6202C">
        <w:rPr>
          <w:color w:val="000000" w:themeColor="text1"/>
        </w:rPr>
        <w:t>[10]</w:t>
      </w:r>
      <w:r w:rsidR="002D3D83" w:rsidRPr="009A3DB4">
        <w:rPr>
          <w:color w:val="000000" w:themeColor="text1"/>
        </w:rPr>
        <w:fldChar w:fldCharType="end"/>
      </w:r>
      <w:r w:rsidR="002D3D83" w:rsidRPr="009A3DB4">
        <w:rPr>
          <w:color w:val="000000" w:themeColor="text1"/>
        </w:rPr>
        <w:t>.</w:t>
      </w:r>
      <w:r w:rsidR="002D3D83" w:rsidRPr="009A3DB4">
        <w:rPr>
          <w:rFonts w:cstheme="minorHAnsi"/>
          <w:color w:val="000000" w:themeColor="text1"/>
        </w:rPr>
        <w:t xml:space="preserve"> </w:t>
      </w:r>
      <w:r w:rsidR="00B51A41" w:rsidRPr="009A3DB4">
        <w:rPr>
          <w:rFonts w:cstheme="minorHAnsi"/>
        </w:rPr>
        <w:t xml:space="preserve">A total of </w:t>
      </w:r>
      <w:r w:rsidR="00BF4F58" w:rsidRPr="009A3DB4">
        <w:rPr>
          <w:rFonts w:cstheme="minorHAnsi"/>
        </w:rPr>
        <w:t>1</w:t>
      </w:r>
      <w:r w:rsidR="00FD0A06" w:rsidRPr="009A3DB4">
        <w:rPr>
          <w:rFonts w:cstheme="minorHAnsi"/>
        </w:rPr>
        <w:t>,</w:t>
      </w:r>
      <w:r w:rsidR="00BF4F58" w:rsidRPr="009A3DB4">
        <w:rPr>
          <w:rFonts w:cstheme="minorHAnsi"/>
        </w:rPr>
        <w:t>000</w:t>
      </w:r>
      <w:r w:rsidR="0087046F" w:rsidRPr="009A3DB4">
        <w:rPr>
          <w:rFonts w:cstheme="minorHAnsi"/>
        </w:rPr>
        <w:t> </w:t>
      </w:r>
      <w:r w:rsidR="00B51A41" w:rsidRPr="009A3DB4">
        <w:rPr>
          <w:rFonts w:cstheme="minorHAnsi"/>
        </w:rPr>
        <w:t xml:space="preserve">simulations were carried out per </w:t>
      </w:r>
      <w:r w:rsidR="00160174" w:rsidRPr="009A3DB4">
        <w:rPr>
          <w:rFonts w:cstheme="minorHAnsi"/>
        </w:rPr>
        <w:t>virtual patient.</w:t>
      </w:r>
      <w:r w:rsidR="006028F2" w:rsidRPr="009A3DB4">
        <w:rPr>
          <w:rFonts w:cstheme="minorHAnsi"/>
        </w:rPr>
        <w:t xml:space="preserve"> </w:t>
      </w:r>
      <w:r w:rsidR="0047775B" w:rsidRPr="009A3DB4">
        <w:rPr>
          <w:rFonts w:cstheme="minorHAnsi"/>
        </w:rPr>
        <w:t>T</w:t>
      </w:r>
      <w:r w:rsidR="00E36AD3" w:rsidRPr="009A3DB4">
        <w:rPr>
          <w:rFonts w:cstheme="minorHAnsi"/>
        </w:rPr>
        <w:t>he</w:t>
      </w:r>
      <w:r w:rsidR="0005337B" w:rsidRPr="009A3DB4">
        <w:rPr>
          <w:rFonts w:cstheme="minorHAnsi"/>
        </w:rPr>
        <w:t xml:space="preserve"> probability of target attainment</w:t>
      </w:r>
      <w:r w:rsidR="001623F0" w:rsidRPr="009A3DB4">
        <w:rPr>
          <w:rFonts w:cstheme="minorHAnsi"/>
        </w:rPr>
        <w:t xml:space="preserve"> (PTA) </w:t>
      </w:r>
      <w:r w:rsidR="00E36AD3" w:rsidRPr="009A3DB4">
        <w:rPr>
          <w:rFonts w:cstheme="minorHAnsi"/>
        </w:rPr>
        <w:lastRenderedPageBreak/>
        <w:t xml:space="preserve">was assessed </w:t>
      </w:r>
      <w:r w:rsidR="001623F0" w:rsidRPr="009A3DB4">
        <w:rPr>
          <w:rFonts w:cstheme="minorHAnsi"/>
        </w:rPr>
        <w:t>at</w:t>
      </w:r>
      <w:r w:rsidR="00FE3D08" w:rsidRPr="009A3DB4">
        <w:rPr>
          <w:rFonts w:cstheme="minorHAnsi"/>
        </w:rPr>
        <w:t xml:space="preserve"> the end of</w:t>
      </w:r>
      <w:r w:rsidR="001623F0" w:rsidRPr="009A3DB4">
        <w:rPr>
          <w:rFonts w:cstheme="minorHAnsi"/>
        </w:rPr>
        <w:t xml:space="preserve"> days 2,</w:t>
      </w:r>
      <w:r w:rsidR="00F721B7" w:rsidRPr="009A3DB4">
        <w:rPr>
          <w:rFonts w:cstheme="minorHAnsi"/>
        </w:rPr>
        <w:t xml:space="preserve"> </w:t>
      </w:r>
      <w:r w:rsidR="001623F0" w:rsidRPr="009A3DB4">
        <w:rPr>
          <w:rFonts w:cstheme="minorHAnsi"/>
        </w:rPr>
        <w:t>7</w:t>
      </w:r>
      <w:r w:rsidR="00F721B7" w:rsidRPr="009A3DB4">
        <w:rPr>
          <w:rFonts w:cstheme="minorHAnsi"/>
        </w:rPr>
        <w:t>,</w:t>
      </w:r>
      <w:r w:rsidR="001623F0" w:rsidRPr="009A3DB4">
        <w:rPr>
          <w:rFonts w:cstheme="minorHAnsi"/>
        </w:rPr>
        <w:t xml:space="preserve"> and 14</w:t>
      </w:r>
      <w:r w:rsidR="00F721B7" w:rsidRPr="009A3DB4">
        <w:rPr>
          <w:rFonts w:cstheme="minorHAnsi"/>
        </w:rPr>
        <w:t xml:space="preserve"> of treatment</w:t>
      </w:r>
      <w:r w:rsidRPr="009A3DB4">
        <w:rPr>
          <w:rFonts w:cstheme="minorHAnsi"/>
        </w:rPr>
        <w:t>.</w:t>
      </w:r>
      <w:r w:rsidR="00F512FF" w:rsidRPr="009A3DB4">
        <w:rPr>
          <w:rFonts w:cstheme="minorHAnsi"/>
        </w:rPr>
        <w:t xml:space="preserve"> A PTA</w:t>
      </w:r>
      <w:r w:rsidR="0087046F" w:rsidRPr="009A3DB4">
        <w:rPr>
          <w:rFonts w:cstheme="minorHAnsi"/>
        </w:rPr>
        <w:t> </w:t>
      </w:r>
      <w:r w:rsidR="00F512FF" w:rsidRPr="009A3DB4">
        <w:rPr>
          <w:rFonts w:cstheme="minorHAnsi"/>
        </w:rPr>
        <w:t xml:space="preserve">≥90% was considered </w:t>
      </w:r>
      <w:r w:rsidR="00F721B7" w:rsidRPr="009A3DB4">
        <w:rPr>
          <w:rFonts w:cstheme="minorHAnsi"/>
        </w:rPr>
        <w:t>clinically acceptable</w:t>
      </w:r>
      <w:r w:rsidR="000A6875" w:rsidRPr="009A3DB4">
        <w:rPr>
          <w:rFonts w:cstheme="minorHAnsi"/>
        </w:rPr>
        <w:t xml:space="preserve"> </w:t>
      </w:r>
      <w:r w:rsidR="000A6875" w:rsidRPr="009A3DB4">
        <w:rPr>
          <w:rFonts w:cstheme="minorHAnsi"/>
          <w:color w:val="000000"/>
        </w:rPr>
        <w:t xml:space="preserve">as recommended by the European </w:t>
      </w:r>
      <w:r w:rsidR="003747A6" w:rsidRPr="009A3DB4">
        <w:rPr>
          <w:rFonts w:cstheme="minorHAnsi"/>
          <w:color w:val="000000"/>
        </w:rPr>
        <w:t>M</w:t>
      </w:r>
      <w:r w:rsidR="00A2045D" w:rsidRPr="009A3DB4">
        <w:rPr>
          <w:rFonts w:cstheme="minorHAnsi"/>
          <w:color w:val="000000"/>
        </w:rPr>
        <w:t>edi</w:t>
      </w:r>
      <w:r w:rsidR="003747A6" w:rsidRPr="009A3DB4">
        <w:rPr>
          <w:rFonts w:cstheme="minorHAnsi"/>
          <w:color w:val="000000"/>
        </w:rPr>
        <w:t>cines</w:t>
      </w:r>
      <w:r w:rsidR="00A2045D" w:rsidRPr="009A3DB4">
        <w:rPr>
          <w:rFonts w:cstheme="minorHAnsi"/>
          <w:color w:val="000000"/>
        </w:rPr>
        <w:t xml:space="preserve"> </w:t>
      </w:r>
      <w:r w:rsidR="003747A6" w:rsidRPr="009A3DB4">
        <w:rPr>
          <w:rFonts w:cstheme="minorHAnsi"/>
          <w:color w:val="000000"/>
        </w:rPr>
        <w:t>A</w:t>
      </w:r>
      <w:r w:rsidR="00A2045D" w:rsidRPr="009A3DB4">
        <w:rPr>
          <w:rFonts w:cstheme="minorHAnsi"/>
          <w:color w:val="000000"/>
        </w:rPr>
        <w:t>gency</w:t>
      </w:r>
      <w:r w:rsidR="003747A6" w:rsidRPr="009A3DB4">
        <w:rPr>
          <w:rFonts w:cstheme="minorHAnsi"/>
          <w:color w:val="000000"/>
        </w:rPr>
        <w:t xml:space="preserve"> </w:t>
      </w:r>
      <w:r w:rsidR="00F21C3A" w:rsidRPr="009A3DB4">
        <w:rPr>
          <w:rFonts w:cstheme="minorHAnsi"/>
          <w:color w:val="000000"/>
        </w:rPr>
        <w:fldChar w:fldCharType="begin"/>
      </w:r>
      <w:r w:rsidR="00C6202C">
        <w:rPr>
          <w:rFonts w:cstheme="minorHAnsi"/>
          <w:color w:val="000000"/>
        </w:rPr>
        <w:instrText xml:space="preserve"> ADDIN ZOTERO_ITEM CSL_CITATION {"citationID":"YjXdHGpE","properties":{"formattedCitation":"[11]","plainCitation":"[11]","noteIndex":0},"citationItems":[{"id":14401,"uris":["http://zotero.org/users/7911495/items/J8L53TLK",["http://zotero.org/users/7911495/items/J8L53TLK"],["http://zotero.org/users/7911495/items/J8L53TLK",["http://zotero.org/users/7911495/items/J8L53TLK"]],["http://zotero.org/users/7911495/items/J8L53TLK",["http://zotero.org/users/7911495/items/J8L53TLK"],["http://zotero.org/users/7911495/items/J8L53TLK",["http://zotero.org/users/7911495/items/J8L53TLK"]]]],"itemData":{"id":14401,"type":"article-journal","language":"en","source":"Zotero","title":"Guideline on the use of pharmacokinetics and pharmacodynamics in the development of antimicrobial medicinal products","URL":"https://www.ema.europa.eu/en/documents/scientific-guideline/guideline-use-pharmacokinetics-pharmacodynamics-development-antimicrobial-medicinal-products_en.pdf","accessed":{"date-parts":[["2023",7,21]]}}}],"schema":"https://github.com/citation-style-language/schema/raw/master/csl-citation.json"} </w:instrText>
      </w:r>
      <w:r w:rsidR="00F21C3A" w:rsidRPr="009A3DB4">
        <w:rPr>
          <w:rFonts w:cstheme="minorHAnsi"/>
          <w:color w:val="000000"/>
        </w:rPr>
        <w:fldChar w:fldCharType="separate"/>
      </w:r>
      <w:r w:rsidR="00C6202C">
        <w:rPr>
          <w:rFonts w:cstheme="minorHAnsi"/>
          <w:color w:val="000000"/>
        </w:rPr>
        <w:t>[11]</w:t>
      </w:r>
      <w:r w:rsidR="00F21C3A" w:rsidRPr="009A3DB4">
        <w:rPr>
          <w:rFonts w:cstheme="minorHAnsi"/>
          <w:color w:val="000000"/>
        </w:rPr>
        <w:fldChar w:fldCharType="end"/>
      </w:r>
      <w:r w:rsidR="002678B1" w:rsidRPr="009A3DB4">
        <w:rPr>
          <w:rFonts w:cstheme="minorHAnsi"/>
          <w:color w:val="000000"/>
        </w:rPr>
        <w:t>.</w:t>
      </w:r>
    </w:p>
    <w:p w14:paraId="05501EF5" w14:textId="757BED62" w:rsidR="007A652A" w:rsidRPr="009A3DB4" w:rsidRDefault="00FE3D08" w:rsidP="009F29D2">
      <w:pPr>
        <w:spacing w:line="480" w:lineRule="auto"/>
        <w:jc w:val="both"/>
        <w:rPr>
          <w:rFonts w:cstheme="minorHAnsi"/>
        </w:rPr>
      </w:pPr>
      <w:r w:rsidRPr="009A3DB4">
        <w:rPr>
          <w:rFonts w:cstheme="minorHAnsi"/>
        </w:rPr>
        <w:t xml:space="preserve">First, </w:t>
      </w:r>
      <w:r w:rsidR="00F36223" w:rsidRPr="009A3DB4">
        <w:rPr>
          <w:rFonts w:cstheme="minorHAnsi"/>
        </w:rPr>
        <w:t xml:space="preserve">simulations were performed to identify an </w:t>
      </w:r>
      <w:r w:rsidR="00776D8D" w:rsidRPr="009A3DB4">
        <w:rPr>
          <w:rFonts w:cstheme="minorHAnsi"/>
        </w:rPr>
        <w:t>optimized inclusive</w:t>
      </w:r>
      <w:r w:rsidR="00F36223" w:rsidRPr="009A3DB4">
        <w:rPr>
          <w:rFonts w:cstheme="minorHAnsi"/>
        </w:rPr>
        <w:t xml:space="preserve"> dosing </w:t>
      </w:r>
      <w:r w:rsidR="00D351E5" w:rsidRPr="009A3DB4">
        <w:rPr>
          <w:rFonts w:cstheme="minorHAnsi"/>
        </w:rPr>
        <w:t>regimen</w:t>
      </w:r>
      <w:r w:rsidR="00892A32" w:rsidRPr="009A3DB4">
        <w:rPr>
          <w:rFonts w:cstheme="minorHAnsi"/>
        </w:rPr>
        <w:t xml:space="preserve"> (</w:t>
      </w:r>
      <w:r w:rsidR="00546226" w:rsidRPr="009A3DB4">
        <w:rPr>
          <w:rFonts w:cstheme="minorHAnsi"/>
          <w:i/>
          <w:iCs/>
        </w:rPr>
        <w:t>i.e.</w:t>
      </w:r>
      <w:r w:rsidR="00546226" w:rsidRPr="009A3DB4">
        <w:rPr>
          <w:rFonts w:cstheme="minorHAnsi"/>
        </w:rPr>
        <w:t>,</w:t>
      </w:r>
      <w:r w:rsidR="00892A32" w:rsidRPr="009A3DB4">
        <w:rPr>
          <w:rFonts w:cstheme="minorHAnsi"/>
        </w:rPr>
        <w:t xml:space="preserve"> a dosing regimen that ensures a PTA</w:t>
      </w:r>
      <w:r w:rsidR="0087046F" w:rsidRPr="009A3DB4">
        <w:rPr>
          <w:rFonts w:cstheme="minorHAnsi"/>
        </w:rPr>
        <w:t> </w:t>
      </w:r>
      <w:r w:rsidR="00892A32" w:rsidRPr="009A3DB4">
        <w:rPr>
          <w:rFonts w:cstheme="minorHAnsi"/>
        </w:rPr>
        <w:t>≥90% for each patient</w:t>
      </w:r>
      <w:r w:rsidR="008917D5" w:rsidRPr="009A3DB4">
        <w:rPr>
          <w:rFonts w:cstheme="minorHAnsi"/>
        </w:rPr>
        <w:t xml:space="preserve"> along the range of covariate values</w:t>
      </w:r>
      <w:r w:rsidR="002D3D83" w:rsidRPr="009A3DB4">
        <w:rPr>
          <w:rFonts w:cstheme="minorHAnsi"/>
        </w:rPr>
        <w:t>; 1,000</w:t>
      </w:r>
      <w:r w:rsidR="0087046F" w:rsidRPr="009A3DB4">
        <w:rPr>
          <w:rFonts w:cstheme="minorHAnsi"/>
        </w:rPr>
        <w:t> </w:t>
      </w:r>
      <w:r w:rsidR="002D3D83" w:rsidRPr="009A3DB4">
        <w:rPr>
          <w:rFonts w:cstheme="minorHAnsi"/>
        </w:rPr>
        <w:t>simulations per covariate value</w:t>
      </w:r>
      <w:r w:rsidR="00892A32" w:rsidRPr="009A3DB4">
        <w:rPr>
          <w:rFonts w:cstheme="minorHAnsi"/>
        </w:rPr>
        <w:t>)</w:t>
      </w:r>
      <w:r w:rsidR="00F36223" w:rsidRPr="009A3DB4">
        <w:rPr>
          <w:rFonts w:cstheme="minorHAnsi"/>
        </w:rPr>
        <w:t>.</w:t>
      </w:r>
      <w:r w:rsidR="00B272C2" w:rsidRPr="009A3DB4">
        <w:rPr>
          <w:rFonts w:cstheme="minorHAnsi"/>
        </w:rPr>
        <w:t xml:space="preserve"> </w:t>
      </w:r>
      <w:r w:rsidR="00862324" w:rsidRPr="009A3DB4">
        <w:rPr>
          <w:rFonts w:cstheme="minorHAnsi"/>
        </w:rPr>
        <w:t>Next, population-level PTA</w:t>
      </w:r>
      <w:r w:rsidR="0002021E" w:rsidRPr="009A3DB4">
        <w:rPr>
          <w:rFonts w:cstheme="minorHAnsi"/>
        </w:rPr>
        <w:t xml:space="preserve">, </w:t>
      </w:r>
      <w:r w:rsidR="00862324" w:rsidRPr="009A3DB4">
        <w:rPr>
          <w:rFonts w:cstheme="minorHAnsi"/>
        </w:rPr>
        <w:t xml:space="preserve">drug </w:t>
      </w:r>
      <w:r w:rsidR="006E4B28" w:rsidRPr="009A3DB4">
        <w:rPr>
          <w:rFonts w:cstheme="minorHAnsi"/>
        </w:rPr>
        <w:t>exposure</w:t>
      </w:r>
      <w:r w:rsidR="002D3D83" w:rsidRPr="009A3DB4">
        <w:rPr>
          <w:rFonts w:cstheme="minorHAnsi"/>
        </w:rPr>
        <w:t>,</w:t>
      </w:r>
      <w:r w:rsidR="006E4B28" w:rsidRPr="009A3DB4">
        <w:rPr>
          <w:rFonts w:cstheme="minorHAnsi"/>
        </w:rPr>
        <w:t xml:space="preserve"> and </w:t>
      </w:r>
      <w:r w:rsidR="002D3D83" w:rsidRPr="009A3DB4">
        <w:rPr>
          <w:rFonts w:cstheme="minorHAnsi"/>
        </w:rPr>
        <w:t xml:space="preserve">drug </w:t>
      </w:r>
      <w:r w:rsidR="00862324" w:rsidRPr="009A3DB4">
        <w:rPr>
          <w:rFonts w:cstheme="minorHAnsi"/>
        </w:rPr>
        <w:t>consumption</w:t>
      </w:r>
      <w:r w:rsidR="00A31E38" w:rsidRPr="009A3DB4">
        <w:rPr>
          <w:rFonts w:cstheme="minorHAnsi"/>
        </w:rPr>
        <w:t xml:space="preserve"> (total amount in mg </w:t>
      </w:r>
      <w:r w:rsidR="002D3D83" w:rsidRPr="009A3DB4">
        <w:rPr>
          <w:rFonts w:cstheme="minorHAnsi"/>
        </w:rPr>
        <w:t>up to day 14</w:t>
      </w:r>
      <w:r w:rsidR="00A31E38" w:rsidRPr="009A3DB4">
        <w:rPr>
          <w:rFonts w:cstheme="minorHAnsi"/>
        </w:rPr>
        <w:t>)</w:t>
      </w:r>
      <w:r w:rsidR="00862324" w:rsidRPr="009A3DB4">
        <w:rPr>
          <w:rFonts w:cstheme="minorHAnsi"/>
        </w:rPr>
        <w:t xml:space="preserve"> were compared between the standard </w:t>
      </w:r>
      <w:r w:rsidR="00A31E38" w:rsidRPr="009A3DB4">
        <w:rPr>
          <w:rFonts w:cstheme="minorHAnsi"/>
        </w:rPr>
        <w:t xml:space="preserve">dosing </w:t>
      </w:r>
      <w:r w:rsidR="00862324" w:rsidRPr="009A3DB4">
        <w:rPr>
          <w:rFonts w:cstheme="minorHAnsi"/>
        </w:rPr>
        <w:t xml:space="preserve">and </w:t>
      </w:r>
      <w:r w:rsidR="00A31E38" w:rsidRPr="009A3DB4">
        <w:rPr>
          <w:rFonts w:cstheme="minorHAnsi"/>
        </w:rPr>
        <w:t xml:space="preserve">the </w:t>
      </w:r>
      <w:r w:rsidR="00862324" w:rsidRPr="009A3DB4">
        <w:rPr>
          <w:rFonts w:cstheme="minorHAnsi"/>
        </w:rPr>
        <w:t>optimized inclusive dosing regimen</w:t>
      </w:r>
      <w:r w:rsidR="00A31E38" w:rsidRPr="009A3DB4">
        <w:rPr>
          <w:rFonts w:cstheme="minorHAnsi"/>
        </w:rPr>
        <w:t xml:space="preserve"> identified in the previous simulation</w:t>
      </w:r>
      <w:r w:rsidR="002D3D83" w:rsidRPr="009A3DB4">
        <w:rPr>
          <w:rFonts w:cstheme="minorHAnsi"/>
        </w:rPr>
        <w:t xml:space="preserve"> step</w:t>
      </w:r>
      <w:r w:rsidR="00862324" w:rsidRPr="009A3DB4">
        <w:rPr>
          <w:rFonts w:cstheme="minorHAnsi"/>
        </w:rPr>
        <w:t>.</w:t>
      </w:r>
      <w:r w:rsidR="0087046F" w:rsidRPr="009A3DB4">
        <w:rPr>
          <w:rFonts w:cstheme="minorHAnsi"/>
        </w:rPr>
        <w:t xml:space="preserve"> </w:t>
      </w:r>
      <w:r w:rsidR="00862324" w:rsidRPr="009A3DB4">
        <w:rPr>
          <w:rFonts w:cstheme="minorHAnsi"/>
        </w:rPr>
        <w:t>Covariates were sampled from a distribution fitted to the POSA-FLU dataset, bounded to a predetermined clinically relevant range. A population of 1,000</w:t>
      </w:r>
      <w:r w:rsidR="0087046F" w:rsidRPr="009A3DB4">
        <w:rPr>
          <w:rFonts w:cstheme="minorHAnsi"/>
        </w:rPr>
        <w:t> </w:t>
      </w:r>
      <w:r w:rsidR="00862324" w:rsidRPr="009A3DB4">
        <w:rPr>
          <w:rFonts w:cstheme="minorHAnsi"/>
        </w:rPr>
        <w:t>virtual patients was created and 1,000</w:t>
      </w:r>
      <w:r w:rsidR="0087046F" w:rsidRPr="009A3DB4">
        <w:rPr>
          <w:rFonts w:cstheme="minorHAnsi"/>
        </w:rPr>
        <w:t> </w:t>
      </w:r>
      <w:r w:rsidR="00862324" w:rsidRPr="009A3DB4">
        <w:rPr>
          <w:rFonts w:cstheme="minorHAnsi"/>
        </w:rPr>
        <w:t>simulations were performed for each virtual patient.</w:t>
      </w:r>
    </w:p>
    <w:p w14:paraId="2C653E31" w14:textId="7A3FEE89" w:rsidR="009B32C8" w:rsidRPr="00A3462B" w:rsidRDefault="007A652A" w:rsidP="00A3462B">
      <w:pPr>
        <w:spacing w:line="480" w:lineRule="auto"/>
        <w:jc w:val="both"/>
        <w:rPr>
          <w:rFonts w:cstheme="minorHAnsi"/>
        </w:rPr>
      </w:pPr>
      <w:r w:rsidRPr="009A3DB4">
        <w:rPr>
          <w:rFonts w:cstheme="minorHAnsi"/>
        </w:rPr>
        <w:t xml:space="preserve">Receiver operating characteristics (ROC) analysis was used to </w:t>
      </w:r>
      <w:r w:rsidR="0087046F" w:rsidRPr="009A3DB4">
        <w:rPr>
          <w:rFonts w:cstheme="minorHAnsi"/>
        </w:rPr>
        <w:t>evaluate</w:t>
      </w:r>
      <w:r w:rsidRPr="009A3DB4">
        <w:rPr>
          <w:rFonts w:cstheme="minorHAnsi"/>
        </w:rPr>
        <w:t xml:space="preserve"> the clinical relevance of covariates. An area under the ROC curve</w:t>
      </w:r>
      <w:r w:rsidR="00CC5CB0">
        <w:rPr>
          <w:rFonts w:cstheme="minorHAnsi"/>
        </w:rPr>
        <w:t xml:space="preserve"> </w:t>
      </w:r>
      <w:r w:rsidRPr="009A3DB4">
        <w:rPr>
          <w:rFonts w:cstheme="minorHAnsi"/>
        </w:rPr>
        <w:t xml:space="preserve">was used as </w:t>
      </w:r>
      <w:r w:rsidR="00A91D65" w:rsidRPr="009A3DB4">
        <w:rPr>
          <w:rFonts w:cstheme="minorHAnsi"/>
        </w:rPr>
        <w:t xml:space="preserve">a </w:t>
      </w:r>
      <w:r w:rsidRPr="009A3DB4">
        <w:rPr>
          <w:rFonts w:cstheme="minorHAnsi"/>
        </w:rPr>
        <w:t>quantitative surrogate for clinical relevance.</w:t>
      </w:r>
      <w:r w:rsidR="009B32C8" w:rsidRPr="009A3DB4">
        <w:rPr>
          <w:b/>
          <w:sz w:val="36"/>
        </w:rPr>
        <w:br w:type="page"/>
      </w:r>
    </w:p>
    <w:p w14:paraId="0B7D27FE" w14:textId="0A5C01ED" w:rsidR="00485501" w:rsidRPr="009A3DB4" w:rsidRDefault="00485501" w:rsidP="00F14F49">
      <w:pPr>
        <w:pStyle w:val="Heading1"/>
        <w:numPr>
          <w:ilvl w:val="0"/>
          <w:numId w:val="19"/>
        </w:numPr>
      </w:pPr>
      <w:r w:rsidRPr="009A3DB4">
        <w:lastRenderedPageBreak/>
        <w:t>Results</w:t>
      </w:r>
    </w:p>
    <w:p w14:paraId="416DAA15" w14:textId="5B171520" w:rsidR="00050096" w:rsidRPr="009A3DB4" w:rsidRDefault="00B97AC8" w:rsidP="00DC57F4">
      <w:pPr>
        <w:pStyle w:val="Heading2"/>
      </w:pPr>
      <w:r w:rsidRPr="009A3DB4">
        <w:t>3.1.</w:t>
      </w:r>
      <w:r w:rsidR="008272DD" w:rsidRPr="009A3DB4">
        <w:tab/>
      </w:r>
      <w:r w:rsidR="00C510C8" w:rsidRPr="009A3DB4">
        <w:t>Data</w:t>
      </w:r>
    </w:p>
    <w:p w14:paraId="6BBBCD88" w14:textId="5C80D1E7" w:rsidR="00994B43" w:rsidRPr="009A3DB4" w:rsidRDefault="003A403A" w:rsidP="00862324">
      <w:pPr>
        <w:spacing w:line="480" w:lineRule="auto"/>
        <w:jc w:val="both"/>
        <w:rPr>
          <w:rFonts w:eastAsia="Lato-Regular" w:cstheme="minorHAnsi"/>
        </w:rPr>
      </w:pPr>
      <w:r w:rsidRPr="009A3DB4">
        <w:rPr>
          <w:rFonts w:eastAsia="Arial Unicode MS" w:cs="Arial Unicode MS"/>
        </w:rPr>
        <w:t xml:space="preserve">In 31 of the 88 patients enrolled in </w:t>
      </w:r>
      <w:r w:rsidR="006D0D2C" w:rsidRPr="009A3DB4">
        <w:rPr>
          <w:rFonts w:eastAsia="Arial Unicode MS" w:cs="Arial Unicode MS"/>
        </w:rPr>
        <w:t xml:space="preserve">the </w:t>
      </w:r>
      <w:r w:rsidRPr="009A3DB4">
        <w:rPr>
          <w:rFonts w:eastAsia="Arial Unicode MS" w:cs="Arial Unicode MS"/>
        </w:rPr>
        <w:t xml:space="preserve">POSA-FLU study, intensive PK sampling was performed, </w:t>
      </w:r>
      <w:r w:rsidR="004044F6" w:rsidRPr="009A3DB4">
        <w:rPr>
          <w:rFonts w:cstheme="minorHAnsi"/>
          <w:bCs/>
        </w:rPr>
        <w:t xml:space="preserve">contributing a total of 532 posaconazole plasma samples, </w:t>
      </w:r>
      <w:r w:rsidR="00EA5084">
        <w:t>including</w:t>
      </w:r>
      <w:r w:rsidR="00862324" w:rsidRPr="009A3DB4">
        <w:t xml:space="preserve"> 138 (26%) trough samples </w:t>
      </w:r>
      <w:r w:rsidR="00862324" w:rsidRPr="009A3DB4">
        <w:rPr>
          <w:rFonts w:eastAsia="Lato-Regular" w:cstheme="minorHAnsi"/>
        </w:rPr>
        <w:t>(</w:t>
      </w:r>
      <w:r w:rsidR="00862324" w:rsidRPr="009A3DB4">
        <w:rPr>
          <w:rFonts w:eastAsia="Lato-Regular" w:cstheme="minorHAnsi"/>
          <w:b/>
        </w:rPr>
        <w:t>Table</w:t>
      </w:r>
      <w:r w:rsidR="0087046F" w:rsidRPr="009A3DB4">
        <w:rPr>
          <w:rFonts w:eastAsia="Lato-Regular" w:cstheme="minorHAnsi"/>
          <w:b/>
        </w:rPr>
        <w:t> </w:t>
      </w:r>
      <w:r w:rsidR="00A66FF6">
        <w:rPr>
          <w:rFonts w:eastAsia="Lato-Regular" w:cstheme="minorHAnsi"/>
          <w:b/>
        </w:rPr>
        <w:t>S2</w:t>
      </w:r>
      <w:r w:rsidR="00862324" w:rsidRPr="009A3DB4">
        <w:rPr>
          <w:rFonts w:eastAsia="Lato-Regular" w:cstheme="minorHAnsi"/>
        </w:rPr>
        <w:t xml:space="preserve">). None of the plasma concentrations were </w:t>
      </w:r>
      <w:r w:rsidR="00EA5084">
        <w:rPr>
          <w:rFonts w:eastAsia="Lato-Regular" w:cstheme="minorHAnsi"/>
        </w:rPr>
        <w:t>below</w:t>
      </w:r>
      <w:r w:rsidR="00862324" w:rsidRPr="009A3DB4">
        <w:rPr>
          <w:rFonts w:eastAsia="Lato-Regular" w:cstheme="minorHAnsi"/>
        </w:rPr>
        <w:t xml:space="preserve"> the assay limit of quantification. The standard IV posaconazole dosing regimen achieved clinically acceptable </w:t>
      </w:r>
      <w:proofErr w:type="spellStart"/>
      <w:r w:rsidR="00862324" w:rsidRPr="009A3DB4">
        <w:rPr>
          <w:rFonts w:eastAsia="Lato-Regular" w:cstheme="minorHAnsi"/>
        </w:rPr>
        <w:t>C</w:t>
      </w:r>
      <w:r w:rsidR="00862324" w:rsidRPr="009A3DB4">
        <w:rPr>
          <w:rFonts w:eastAsia="Lato-Regular" w:cstheme="minorHAnsi"/>
          <w:vertAlign w:val="subscript"/>
        </w:rPr>
        <w:t>min</w:t>
      </w:r>
      <w:proofErr w:type="spellEnd"/>
      <w:r w:rsidR="00862324" w:rsidRPr="009A3DB4">
        <w:rPr>
          <w:rFonts w:eastAsia="Lato-Regular" w:cstheme="minorHAnsi"/>
        </w:rPr>
        <w:t xml:space="preserve"> prophylaxis target attainment</w:t>
      </w:r>
      <w:r w:rsidR="00994B43" w:rsidRPr="009A3DB4">
        <w:rPr>
          <w:rFonts w:eastAsia="Lato-Regular" w:cstheme="minorHAnsi"/>
        </w:rPr>
        <w:t xml:space="preserve"> </w:t>
      </w:r>
      <w:r w:rsidR="00862324" w:rsidRPr="009A3DB4">
        <w:rPr>
          <w:rFonts w:eastAsia="Lato-Regular" w:cstheme="minorHAnsi"/>
        </w:rPr>
        <w:t xml:space="preserve">rates of 94.2% and 97.7% on </w:t>
      </w:r>
      <w:r w:rsidR="0074388B" w:rsidRPr="009A3DB4">
        <w:rPr>
          <w:rFonts w:eastAsia="Lato-Regular" w:cstheme="minorHAnsi"/>
        </w:rPr>
        <w:t>early</w:t>
      </w:r>
      <w:r w:rsidR="00862324" w:rsidRPr="009A3DB4">
        <w:rPr>
          <w:rFonts w:eastAsia="Lato-Regular" w:cstheme="minorHAnsi"/>
        </w:rPr>
        <w:t xml:space="preserve"> </w:t>
      </w:r>
      <w:r w:rsidR="009B5CA9" w:rsidRPr="009A3DB4">
        <w:rPr>
          <w:rFonts w:cstheme="minorHAnsi"/>
        </w:rPr>
        <w:t xml:space="preserve">and late </w:t>
      </w:r>
      <w:r w:rsidR="0074388B" w:rsidRPr="009A3DB4">
        <w:rPr>
          <w:rFonts w:cstheme="minorHAnsi"/>
        </w:rPr>
        <w:t>day</w:t>
      </w:r>
      <w:r w:rsidR="006D0D2C" w:rsidRPr="009A3DB4">
        <w:rPr>
          <w:rFonts w:cstheme="minorHAnsi"/>
        </w:rPr>
        <w:t>s</w:t>
      </w:r>
      <w:r w:rsidR="00994B43" w:rsidRPr="009A3DB4">
        <w:rPr>
          <w:rFonts w:cstheme="minorHAnsi"/>
        </w:rPr>
        <w:t xml:space="preserve"> of therapy</w:t>
      </w:r>
      <w:r w:rsidR="00862324" w:rsidRPr="009A3DB4">
        <w:rPr>
          <w:rFonts w:eastAsia="Lato-Regular" w:cstheme="minorHAnsi"/>
        </w:rPr>
        <w:t xml:space="preserve">, respectively. </w:t>
      </w:r>
      <w:r w:rsidR="0087046F" w:rsidRPr="009A3DB4">
        <w:rPr>
          <w:rFonts w:eastAsia="Lato-Regular" w:cstheme="minorHAnsi"/>
        </w:rPr>
        <w:t>However</w:t>
      </w:r>
      <w:r w:rsidR="00862324" w:rsidRPr="009A3DB4">
        <w:rPr>
          <w:rFonts w:eastAsia="Lato-Regular" w:cstheme="minorHAnsi"/>
        </w:rPr>
        <w:t>,</w:t>
      </w:r>
      <w:r w:rsidR="00994B43" w:rsidRPr="009A3DB4">
        <w:rPr>
          <w:rFonts w:eastAsia="Lato-Regular" w:cstheme="minorHAnsi"/>
        </w:rPr>
        <w:t xml:space="preserve"> </w:t>
      </w:r>
      <w:proofErr w:type="spellStart"/>
      <w:r w:rsidR="00994B43" w:rsidRPr="009A3DB4">
        <w:rPr>
          <w:rFonts w:eastAsia="Lato-Regular" w:cstheme="minorHAnsi"/>
        </w:rPr>
        <w:t>C</w:t>
      </w:r>
      <w:r w:rsidR="00994B43" w:rsidRPr="009A3DB4">
        <w:rPr>
          <w:rFonts w:eastAsia="Lato-Regular" w:cstheme="minorHAnsi"/>
          <w:vertAlign w:val="subscript"/>
        </w:rPr>
        <w:t>min</w:t>
      </w:r>
      <w:proofErr w:type="spellEnd"/>
      <w:r w:rsidR="00994B43" w:rsidRPr="009A3DB4">
        <w:rPr>
          <w:rFonts w:eastAsia="Lato-Regular" w:cstheme="minorHAnsi"/>
        </w:rPr>
        <w:t xml:space="preserve"> treatment target rates of 68.4% and 83.7% on the early and late days, respectively, were clinically </w:t>
      </w:r>
      <w:r w:rsidR="00994B43" w:rsidRPr="009A3DB4">
        <w:rPr>
          <w:szCs w:val="21"/>
        </w:rPr>
        <w:t>unacceptable.</w:t>
      </w:r>
    </w:p>
    <w:p w14:paraId="4DB3EB16" w14:textId="219DFB32" w:rsidR="00485501" w:rsidRPr="009A3DB4" w:rsidRDefault="00B97AC8" w:rsidP="00DC57F4">
      <w:pPr>
        <w:pStyle w:val="Heading2"/>
      </w:pPr>
      <w:r w:rsidRPr="009A3DB4">
        <w:t>3.2.</w:t>
      </w:r>
      <w:r w:rsidR="008272DD" w:rsidRPr="009A3DB4">
        <w:tab/>
      </w:r>
      <w:r w:rsidR="005D0831" w:rsidRPr="009A3DB4">
        <w:t>Population pharmacokinetics model</w:t>
      </w:r>
      <w:r w:rsidR="007E1FFC" w:rsidRPr="009A3DB4">
        <w:t>ing</w:t>
      </w:r>
    </w:p>
    <w:p w14:paraId="526CD8B4" w14:textId="2FBE56A5" w:rsidR="00862324" w:rsidRPr="009A3DB4" w:rsidRDefault="00862324" w:rsidP="00862324">
      <w:pPr>
        <w:spacing w:line="480" w:lineRule="auto"/>
        <w:jc w:val="both"/>
        <w:rPr>
          <w:rFonts w:eastAsiaTheme="minorEastAsia" w:cstheme="minorHAnsi"/>
          <w:iCs/>
        </w:rPr>
      </w:pPr>
      <w:r w:rsidRPr="009A3DB4">
        <w:t>A two-compartment popPK model with linear elimination best described the posaconazole concentration-time data (</w:t>
      </w:r>
      <w:r w:rsidRPr="009A3DB4">
        <w:rPr>
          <w:rFonts w:cs="Times New Roman"/>
          <w:b/>
        </w:rPr>
        <w:t>Figure </w:t>
      </w:r>
      <w:r w:rsidR="003A3247">
        <w:rPr>
          <w:rFonts w:cs="Times New Roman"/>
          <w:b/>
        </w:rPr>
        <w:t>S</w:t>
      </w:r>
      <w:r w:rsidRPr="009A3DB4">
        <w:rPr>
          <w:rFonts w:cs="Times New Roman"/>
          <w:b/>
        </w:rPr>
        <w:t>1</w:t>
      </w:r>
      <w:r w:rsidRPr="009A3DB4">
        <w:rPr>
          <w:rFonts w:cs="Times New Roman"/>
          <w:bCs/>
        </w:rPr>
        <w:t xml:space="preserve">, </w:t>
      </w:r>
      <w:r w:rsidRPr="009A3DB4">
        <w:rPr>
          <w:rFonts w:cs="Times New Roman"/>
          <w:b/>
          <w:bCs/>
        </w:rPr>
        <w:t>Figure</w:t>
      </w:r>
      <w:r w:rsidR="0087046F" w:rsidRPr="009A3DB4">
        <w:rPr>
          <w:rFonts w:cs="Times New Roman"/>
          <w:b/>
          <w:bCs/>
        </w:rPr>
        <w:t> </w:t>
      </w:r>
      <w:r w:rsidRPr="009A3DB4">
        <w:rPr>
          <w:rFonts w:cs="Times New Roman"/>
          <w:b/>
          <w:bCs/>
        </w:rPr>
        <w:t>S</w:t>
      </w:r>
      <w:r w:rsidR="003A3247">
        <w:rPr>
          <w:rFonts w:cs="Times New Roman"/>
          <w:b/>
          <w:bCs/>
        </w:rPr>
        <w:t>2</w:t>
      </w:r>
      <w:r w:rsidRPr="009A3DB4">
        <w:rPr>
          <w:rFonts w:cs="Times New Roman"/>
        </w:rPr>
        <w:t xml:space="preserve">, and </w:t>
      </w:r>
      <w:r w:rsidRPr="009A3DB4">
        <w:rPr>
          <w:rFonts w:cs="Times New Roman"/>
          <w:b/>
          <w:bCs/>
        </w:rPr>
        <w:t>Figure</w:t>
      </w:r>
      <w:r w:rsidR="0087046F" w:rsidRPr="009A3DB4">
        <w:rPr>
          <w:rFonts w:cs="Times New Roman"/>
          <w:b/>
          <w:bCs/>
        </w:rPr>
        <w:t> </w:t>
      </w:r>
      <w:r w:rsidRPr="009A3DB4">
        <w:rPr>
          <w:rFonts w:cs="Times New Roman"/>
          <w:b/>
          <w:bCs/>
        </w:rPr>
        <w:t>S</w:t>
      </w:r>
      <w:r w:rsidR="003A3247">
        <w:rPr>
          <w:rFonts w:cs="Times New Roman"/>
          <w:b/>
          <w:bCs/>
        </w:rPr>
        <w:t>3</w:t>
      </w:r>
      <w:r w:rsidRPr="009A3DB4">
        <w:t xml:space="preserve">). </w:t>
      </w:r>
      <w:r w:rsidR="00D248F5">
        <w:rPr>
          <w:rFonts w:cstheme="minorHAnsi"/>
        </w:rPr>
        <w:t>I</w:t>
      </w:r>
      <w:r w:rsidR="00BC2224">
        <w:rPr>
          <w:rFonts w:cstheme="minorHAnsi"/>
        </w:rPr>
        <w:t>nterindividual variability (IIV)</w:t>
      </w:r>
      <w:r w:rsidR="00BC2224" w:rsidRPr="009A3DB4">
        <w:rPr>
          <w:rFonts w:cstheme="minorHAnsi"/>
        </w:rPr>
        <w:t xml:space="preserve"> </w:t>
      </w:r>
      <w:r w:rsidR="000E6A4C" w:rsidRPr="009A3DB4">
        <w:rPr>
          <w:rFonts w:cstheme="minorHAnsi"/>
        </w:rPr>
        <w:t>was estimated on clearance (CL) and volume of distribution in the central and peripheral compartments (V</w:t>
      </w:r>
      <w:r w:rsidR="000E6A4C" w:rsidRPr="009A3DB4">
        <w:rPr>
          <w:rFonts w:cstheme="minorHAnsi"/>
          <w:vertAlign w:val="subscript"/>
        </w:rPr>
        <w:t>c</w:t>
      </w:r>
      <w:r w:rsidR="000E6A4C" w:rsidRPr="009A3DB4">
        <w:rPr>
          <w:rFonts w:cstheme="minorHAnsi"/>
        </w:rPr>
        <w:t xml:space="preserve"> and V</w:t>
      </w:r>
      <w:r w:rsidR="000E6A4C" w:rsidRPr="009A3DB4">
        <w:rPr>
          <w:rFonts w:cstheme="minorHAnsi"/>
          <w:vertAlign w:val="subscript"/>
        </w:rPr>
        <w:t>p</w:t>
      </w:r>
      <w:r w:rsidR="000E6A4C" w:rsidRPr="009A3DB4">
        <w:rPr>
          <w:rFonts w:cstheme="minorHAnsi"/>
        </w:rPr>
        <w:t xml:space="preserve">). </w:t>
      </w:r>
      <w:proofErr w:type="spellStart"/>
      <w:r w:rsidR="00BC2224">
        <w:rPr>
          <w:rFonts w:cstheme="minorHAnsi"/>
        </w:rPr>
        <w:t>Interoccasion</w:t>
      </w:r>
      <w:proofErr w:type="spellEnd"/>
      <w:r w:rsidR="00BC2224">
        <w:rPr>
          <w:rFonts w:cstheme="minorHAnsi"/>
        </w:rPr>
        <w:t xml:space="preserve"> variability</w:t>
      </w:r>
      <w:r w:rsidR="00BC2224" w:rsidRPr="009A3DB4">
        <w:rPr>
          <w:rFonts w:cstheme="minorHAnsi"/>
        </w:rPr>
        <w:t xml:space="preserve"> </w:t>
      </w:r>
      <w:r w:rsidR="000E6A4C" w:rsidRPr="009A3DB4">
        <w:rPr>
          <w:rFonts w:cstheme="minorHAnsi"/>
        </w:rPr>
        <w:t>was estimated on CL and V</w:t>
      </w:r>
      <w:r w:rsidR="000E6A4C" w:rsidRPr="009A3DB4">
        <w:rPr>
          <w:rFonts w:cstheme="minorHAnsi"/>
          <w:vertAlign w:val="subscript"/>
        </w:rPr>
        <w:t>c</w:t>
      </w:r>
      <w:r w:rsidR="000E6A4C" w:rsidRPr="009A3DB4">
        <w:rPr>
          <w:rFonts w:cstheme="minorHAnsi"/>
        </w:rPr>
        <w:t xml:space="preserve">. </w:t>
      </w:r>
      <w:r w:rsidRPr="009A3DB4">
        <w:t>Bodyweight was retained as the only statistically significant covariate in the final model (</w:t>
      </w:r>
      <w:r w:rsidRPr="009A3DB4">
        <w:rPr>
          <w:b/>
        </w:rPr>
        <w:t xml:space="preserve">Table </w:t>
      </w:r>
      <w:r w:rsidR="000C2F02">
        <w:rPr>
          <w:b/>
        </w:rPr>
        <w:t>1</w:t>
      </w:r>
      <w:r w:rsidR="00EA249C" w:rsidRPr="009A3DB4">
        <w:rPr>
          <w:bCs/>
        </w:rPr>
        <w:t xml:space="preserve">, </w:t>
      </w:r>
      <w:r w:rsidR="00EA249C" w:rsidRPr="009A3DB4">
        <w:rPr>
          <w:b/>
        </w:rPr>
        <w:t>Figure</w:t>
      </w:r>
      <w:r w:rsidR="0087046F" w:rsidRPr="009A3DB4">
        <w:rPr>
          <w:b/>
        </w:rPr>
        <w:t> </w:t>
      </w:r>
      <w:r w:rsidR="00EA249C" w:rsidRPr="009A3DB4">
        <w:rPr>
          <w:b/>
        </w:rPr>
        <w:t>S</w:t>
      </w:r>
      <w:r w:rsidR="00551B79">
        <w:rPr>
          <w:b/>
        </w:rPr>
        <w:t>4</w:t>
      </w:r>
      <w:r w:rsidRPr="009A3DB4">
        <w:t>).</w:t>
      </w:r>
      <w:r w:rsidR="000E6A4C" w:rsidRPr="009A3DB4">
        <w:t xml:space="preserve"> </w:t>
      </w:r>
      <w:r w:rsidRPr="009A3DB4">
        <w:rPr>
          <w:rFonts w:eastAsiaTheme="minorEastAsia" w:cstheme="minorHAnsi"/>
          <w:iCs/>
        </w:rPr>
        <w:t>Equation </w:t>
      </w:r>
      <w:r w:rsidR="006D0D2C" w:rsidRPr="009A3DB4">
        <w:rPr>
          <w:rFonts w:eastAsiaTheme="minorEastAsia" w:cstheme="minorHAnsi"/>
          <w:iCs/>
        </w:rPr>
        <w:t>1</w:t>
      </w:r>
      <w:r w:rsidRPr="009A3DB4">
        <w:rPr>
          <w:rFonts w:eastAsiaTheme="minorEastAsia" w:cstheme="minorHAnsi"/>
          <w:iCs/>
        </w:rPr>
        <w:t xml:space="preserve"> describes how V</w:t>
      </w:r>
      <w:r w:rsidRPr="009A3DB4">
        <w:rPr>
          <w:rFonts w:eastAsiaTheme="minorEastAsia" w:cstheme="minorHAnsi"/>
          <w:iCs/>
          <w:vertAlign w:val="subscript"/>
        </w:rPr>
        <w:t>p</w:t>
      </w:r>
      <w:r w:rsidRPr="009A3DB4">
        <w:rPr>
          <w:rFonts w:eastAsiaTheme="minorEastAsia" w:cstheme="minorHAnsi"/>
          <w:iCs/>
        </w:rPr>
        <w:t xml:space="preserve"> of posaconazole for patient</w:t>
      </w:r>
      <w:r w:rsidR="009C4DE0">
        <w:rPr>
          <w:rFonts w:eastAsiaTheme="minorEastAsia" w:cstheme="minorHAnsi"/>
          <w:iCs/>
        </w:rPr>
        <w:t> </w:t>
      </w:r>
      <w:proofErr w:type="spellStart"/>
      <w:r w:rsidRPr="009A3DB4">
        <w:rPr>
          <w:rFonts w:eastAsiaTheme="minorEastAsia" w:cstheme="minorHAnsi"/>
          <w:i/>
        </w:rPr>
        <w:t>i</w:t>
      </w:r>
      <w:proofErr w:type="spellEnd"/>
      <w:r w:rsidRPr="009A3DB4">
        <w:rPr>
          <w:rFonts w:eastAsiaTheme="minorEastAsia" w:cstheme="minorHAnsi"/>
          <w:iCs/>
        </w:rPr>
        <w:t xml:space="preserve"> increases with increasing bodyweight.</w:t>
      </w:r>
    </w:p>
    <w:p w14:paraId="6FCAA4EF" w14:textId="1BA3D96E" w:rsidR="00C15FE0" w:rsidRPr="009A3DB4" w:rsidRDefault="00FA6674" w:rsidP="0087046F">
      <w:pPr>
        <w:tabs>
          <w:tab w:val="right" w:pos="9356"/>
        </w:tabs>
        <w:spacing w:line="480" w:lineRule="auto"/>
        <w:ind w:left="567"/>
        <w:jc w:val="both"/>
        <w:rPr>
          <w:rFonts w:eastAsiaTheme="minorEastAsia"/>
          <w:iCs/>
        </w:rPr>
      </w:pPr>
      <m:oMath>
        <m:sSub>
          <m:sSubPr>
            <m:ctrlPr>
              <w:rPr>
                <w:rFonts w:ascii="Cambria Math" w:hAnsi="Cambria Math" w:cstheme="minorHAnsi"/>
                <w:i/>
                <w:iCs/>
              </w:rPr>
            </m:ctrlPr>
          </m:sSubPr>
          <m:e>
            <m:r>
              <m:rPr>
                <m:nor/>
              </m:rPr>
              <w:rPr>
                <w:rFonts w:cstheme="minorHAnsi"/>
                <w:iCs/>
              </w:rPr>
              <m:t>V</m:t>
            </m:r>
          </m:e>
          <m:sub>
            <m:r>
              <m:rPr>
                <m:nor/>
              </m:rPr>
              <w:rPr>
                <w:rFonts w:cstheme="minorHAnsi"/>
                <w:i/>
                <w:iCs/>
              </w:rPr>
              <m:t>p(i)</m:t>
            </m:r>
          </m:sub>
        </m:sSub>
        <m:r>
          <m:rPr>
            <m:nor/>
          </m:rPr>
          <w:rPr>
            <w:rFonts w:cstheme="minorHAnsi"/>
            <w:iCs/>
          </w:rPr>
          <m:t xml:space="preserve"> = 230 L × </m:t>
        </m:r>
        <m:sSup>
          <m:sSupPr>
            <m:ctrlPr>
              <w:rPr>
                <w:rFonts w:ascii="Cambria Math" w:hAnsi="Cambria Math" w:cstheme="minorHAnsi"/>
                <w:i/>
                <w:iCs/>
              </w:rPr>
            </m:ctrlPr>
          </m:sSupPr>
          <m:e>
            <m:d>
              <m:dPr>
                <m:ctrlPr>
                  <w:rPr>
                    <w:rFonts w:ascii="Cambria Math" w:hAnsi="Cambria Math" w:cstheme="minorHAnsi"/>
                    <w:i/>
                    <w:iCs/>
                  </w:rPr>
                </m:ctrlPr>
              </m:dPr>
              <m:e>
                <m:f>
                  <m:fPr>
                    <m:ctrlPr>
                      <w:rPr>
                        <w:rFonts w:ascii="Cambria Math" w:hAnsi="Cambria Math" w:cstheme="minorHAnsi"/>
                        <w:i/>
                        <w:iCs/>
                      </w:rPr>
                    </m:ctrlPr>
                  </m:fPr>
                  <m:num>
                    <m:sSub>
                      <m:sSubPr>
                        <m:ctrlPr>
                          <w:rPr>
                            <w:rFonts w:ascii="Cambria Math" w:hAnsi="Cambria Math" w:cstheme="minorHAnsi"/>
                            <w:i/>
                            <w:iCs/>
                          </w:rPr>
                        </m:ctrlPr>
                      </m:sSubPr>
                      <m:e>
                        <m:r>
                          <m:rPr>
                            <m:nor/>
                          </m:rPr>
                          <w:rPr>
                            <w:rFonts w:cstheme="minorHAnsi"/>
                            <w:iCs/>
                          </w:rPr>
                          <m:t>Bodyweight</m:t>
                        </m:r>
                      </m:e>
                      <m:sub>
                        <m:r>
                          <m:rPr>
                            <m:nor/>
                          </m:rPr>
                          <w:rPr>
                            <w:rFonts w:cstheme="minorHAnsi"/>
                            <w:i/>
                            <w:iCs/>
                          </w:rPr>
                          <m:t>i</m:t>
                        </m:r>
                      </m:sub>
                    </m:sSub>
                  </m:num>
                  <m:den>
                    <m:r>
                      <m:rPr>
                        <m:nor/>
                      </m:rPr>
                      <w:rPr>
                        <w:rFonts w:cstheme="minorHAnsi"/>
                        <w:iCs/>
                      </w:rPr>
                      <m:t xml:space="preserve">75 kg </m:t>
                    </m:r>
                  </m:den>
                </m:f>
              </m:e>
            </m:d>
          </m:e>
          <m:sup>
            <m:r>
              <m:rPr>
                <m:nor/>
              </m:rPr>
              <w:rPr>
                <w:rFonts w:cstheme="minorHAnsi"/>
                <w:iCs/>
              </w:rPr>
              <m:t>1.6</m:t>
            </m:r>
          </m:sup>
        </m:sSup>
        <m:r>
          <m:rPr>
            <m:nor/>
          </m:rPr>
          <w:rPr>
            <w:rFonts w:cstheme="minorHAnsi"/>
            <w:iCs/>
          </w:rPr>
          <m:t xml:space="preserve"> × </m:t>
        </m:r>
        <m:sSup>
          <m:sSupPr>
            <m:ctrlPr>
              <w:rPr>
                <w:rFonts w:ascii="Cambria Math" w:hAnsi="Cambria Math" w:cstheme="minorHAnsi"/>
                <w:i/>
                <w:iCs/>
              </w:rPr>
            </m:ctrlPr>
          </m:sSupPr>
          <m:e>
            <m:r>
              <m:rPr>
                <m:nor/>
              </m:rPr>
              <w:rPr>
                <w:rFonts w:cstheme="minorHAnsi"/>
                <w:i/>
              </w:rPr>
              <m:t>e</m:t>
            </m:r>
          </m:e>
          <m:sup>
            <m:sSub>
              <m:sSubPr>
                <m:ctrlPr>
                  <w:rPr>
                    <w:rFonts w:ascii="Cambria Math" w:hAnsi="Cambria Math" w:cstheme="minorHAnsi"/>
                    <w:i/>
                    <w:iCs/>
                  </w:rPr>
                </m:ctrlPr>
              </m:sSubPr>
              <m:e>
                <m:r>
                  <m:rPr>
                    <m:nor/>
                  </m:rPr>
                  <w:rPr>
                    <w:rFonts w:cstheme="minorHAnsi"/>
                    <w:i/>
                    <w:iCs/>
                  </w:rPr>
                  <m:t>η</m:t>
                </m:r>
              </m:e>
              <m:sub>
                <m:r>
                  <w:rPr>
                    <w:rFonts w:ascii="Cambria Math" w:hAnsi="Cambria Math" w:cstheme="minorHAnsi"/>
                  </w:rPr>
                  <m:t>i</m:t>
                </m:r>
              </m:sub>
            </m:sSub>
          </m:sup>
        </m:sSup>
      </m:oMath>
      <w:r w:rsidR="00C15FE0" w:rsidRPr="009C4DE0">
        <w:rPr>
          <w:rFonts w:eastAsiaTheme="minorEastAsia" w:cstheme="minorHAnsi"/>
          <w:iCs/>
        </w:rPr>
        <w:t xml:space="preserve">   with </w:t>
      </w:r>
      <m:oMath>
        <m:sSub>
          <m:sSubPr>
            <m:ctrlPr>
              <w:rPr>
                <w:rFonts w:ascii="Cambria Math" w:eastAsiaTheme="minorEastAsia" w:hAnsi="Cambria Math" w:cstheme="minorHAnsi"/>
                <w:i/>
                <w:iCs/>
              </w:rPr>
            </m:ctrlPr>
          </m:sSubPr>
          <m:e>
            <m:r>
              <m:rPr>
                <m:nor/>
              </m:rPr>
              <w:rPr>
                <w:rFonts w:eastAsiaTheme="minorEastAsia" w:cstheme="minorHAnsi"/>
                <w:i/>
                <w:iCs/>
              </w:rPr>
              <m:t>η</m:t>
            </m:r>
          </m:e>
          <m:sub>
            <m:r>
              <m:rPr>
                <m:nor/>
              </m:rPr>
              <w:rPr>
                <w:rFonts w:eastAsiaTheme="minorEastAsia" w:cstheme="minorHAnsi"/>
                <w:i/>
                <w:iCs/>
              </w:rPr>
              <m:t>i</m:t>
            </m:r>
          </m:sub>
        </m:sSub>
        <m:r>
          <m:rPr>
            <m:nor/>
          </m:rPr>
          <w:rPr>
            <w:rFonts w:eastAsiaTheme="minorEastAsia" w:cstheme="minorHAnsi"/>
            <w:iCs/>
          </w:rPr>
          <m:t>~</m:t>
        </m:r>
        <m:r>
          <m:rPr>
            <m:nor/>
          </m:rPr>
          <w:rPr>
            <w:rFonts w:eastAsiaTheme="minorEastAsia" w:cstheme="minorHAnsi"/>
            <w:i/>
            <w:iCs/>
          </w:rPr>
          <m:t>N</m:t>
        </m:r>
        <m:d>
          <m:dPr>
            <m:ctrlPr>
              <w:rPr>
                <w:rFonts w:ascii="Cambria Math" w:eastAsiaTheme="minorEastAsia" w:hAnsi="Cambria Math" w:cstheme="minorHAnsi"/>
                <w:i/>
                <w:iCs/>
              </w:rPr>
            </m:ctrlPr>
          </m:dPr>
          <m:e>
            <m:r>
              <m:rPr>
                <m:nor/>
              </m:rPr>
              <w:rPr>
                <w:rFonts w:eastAsiaTheme="minorEastAsia" w:cstheme="minorHAnsi"/>
                <w:iCs/>
              </w:rPr>
              <m:t>0, 0.0525</m:t>
            </m:r>
          </m:e>
        </m:d>
      </m:oMath>
      <w:r w:rsidR="00C15FE0" w:rsidRPr="009A3DB4">
        <w:rPr>
          <w:rFonts w:eastAsiaTheme="minorEastAsia"/>
          <w:iCs/>
        </w:rPr>
        <w:tab/>
        <w:t>(Eq.</w:t>
      </w:r>
      <w:r w:rsidR="00994B43" w:rsidRPr="009A3DB4">
        <w:rPr>
          <w:rFonts w:eastAsiaTheme="minorEastAsia"/>
          <w:iCs/>
        </w:rPr>
        <w:t> </w:t>
      </w:r>
      <w:r w:rsidR="006D0D2C" w:rsidRPr="009A3DB4">
        <w:rPr>
          <w:rFonts w:eastAsiaTheme="minorEastAsia"/>
          <w:iCs/>
        </w:rPr>
        <w:t>1</w:t>
      </w:r>
      <w:r w:rsidR="00C15FE0" w:rsidRPr="009A3DB4">
        <w:rPr>
          <w:rFonts w:eastAsiaTheme="minorEastAsia"/>
          <w:iCs/>
        </w:rPr>
        <w:t>)</w:t>
      </w:r>
    </w:p>
    <w:p w14:paraId="498E36E2" w14:textId="389DA0A5" w:rsidR="00E77969" w:rsidRPr="009A3DB4" w:rsidRDefault="00E77969" w:rsidP="00CC0FA8">
      <w:pPr>
        <w:autoSpaceDE w:val="0"/>
        <w:autoSpaceDN w:val="0"/>
        <w:adjustRightInd w:val="0"/>
        <w:spacing w:after="240" w:line="480" w:lineRule="auto"/>
        <w:jc w:val="both"/>
        <w:rPr>
          <w:rFonts w:cstheme="minorHAnsi"/>
        </w:rPr>
      </w:pPr>
      <w:r w:rsidRPr="009A3DB4">
        <w:rPr>
          <w:rFonts w:cstheme="minorHAnsi"/>
          <w:color w:val="000000"/>
        </w:rPr>
        <w:t>Posaconazole V</w:t>
      </w:r>
      <w:r w:rsidRPr="009A3DB4">
        <w:rPr>
          <w:rFonts w:cstheme="minorHAnsi"/>
          <w:color w:val="000000"/>
          <w:vertAlign w:val="subscript"/>
        </w:rPr>
        <w:t>p</w:t>
      </w:r>
      <w:r w:rsidRPr="009A3DB4">
        <w:rPr>
          <w:rFonts w:cstheme="minorHAnsi"/>
          <w:color w:val="000000"/>
        </w:rPr>
        <w:t xml:space="preserve"> increase</w:t>
      </w:r>
      <w:r w:rsidR="00862324" w:rsidRPr="009A3DB4">
        <w:rPr>
          <w:rFonts w:cstheme="minorHAnsi"/>
          <w:color w:val="000000"/>
        </w:rPr>
        <w:t>s</w:t>
      </w:r>
      <w:r w:rsidRPr="009A3DB4">
        <w:rPr>
          <w:rFonts w:cstheme="minorHAnsi"/>
          <w:color w:val="000000"/>
        </w:rPr>
        <w:t xml:space="preserve"> from 144.1</w:t>
      </w:r>
      <w:r w:rsidR="0087046F" w:rsidRPr="009A3DB4">
        <w:rPr>
          <w:rFonts w:cstheme="minorHAnsi"/>
          <w:color w:val="000000"/>
        </w:rPr>
        <w:t> </w:t>
      </w:r>
      <w:r w:rsidRPr="009A3DB4">
        <w:rPr>
          <w:rFonts w:cstheme="minorHAnsi"/>
          <w:color w:val="000000"/>
        </w:rPr>
        <w:t>L (56</w:t>
      </w:r>
      <w:r w:rsidR="0087046F" w:rsidRPr="009A3DB4">
        <w:rPr>
          <w:rFonts w:cstheme="minorHAnsi"/>
          <w:color w:val="000000"/>
        </w:rPr>
        <w:t> </w:t>
      </w:r>
      <w:r w:rsidRPr="009A3DB4">
        <w:rPr>
          <w:rFonts w:cstheme="minorHAnsi"/>
          <w:color w:val="000000"/>
        </w:rPr>
        <w:t>kg</w:t>
      </w:r>
      <w:r w:rsidR="004F7F5B" w:rsidRPr="009A3DB4">
        <w:rPr>
          <w:rFonts w:cstheme="minorHAnsi"/>
          <w:color w:val="000000"/>
        </w:rPr>
        <w:t>; min</w:t>
      </w:r>
      <w:r w:rsidRPr="009A3DB4">
        <w:rPr>
          <w:rFonts w:cstheme="minorHAnsi"/>
          <w:color w:val="000000"/>
        </w:rPr>
        <w:t>) to 624.4</w:t>
      </w:r>
      <w:r w:rsidR="0087046F" w:rsidRPr="009A3DB4">
        <w:rPr>
          <w:rFonts w:cstheme="minorHAnsi"/>
          <w:color w:val="000000"/>
        </w:rPr>
        <w:t> </w:t>
      </w:r>
      <w:r w:rsidRPr="009A3DB4">
        <w:rPr>
          <w:rFonts w:cstheme="minorHAnsi"/>
          <w:color w:val="000000"/>
        </w:rPr>
        <w:t>L (140</w:t>
      </w:r>
      <w:r w:rsidR="0087046F" w:rsidRPr="009A3DB4">
        <w:rPr>
          <w:rFonts w:cstheme="minorHAnsi"/>
          <w:color w:val="000000"/>
        </w:rPr>
        <w:t> </w:t>
      </w:r>
      <w:r w:rsidRPr="009A3DB4">
        <w:rPr>
          <w:rFonts w:cstheme="minorHAnsi"/>
          <w:color w:val="000000"/>
        </w:rPr>
        <w:t>kg</w:t>
      </w:r>
      <w:r w:rsidR="004F7F5B" w:rsidRPr="009A3DB4">
        <w:rPr>
          <w:rFonts w:cstheme="minorHAnsi"/>
          <w:color w:val="000000"/>
        </w:rPr>
        <w:t>; max</w:t>
      </w:r>
      <w:r w:rsidRPr="009A3DB4">
        <w:rPr>
          <w:rFonts w:cstheme="minorHAnsi"/>
          <w:color w:val="000000"/>
        </w:rPr>
        <w:t xml:space="preserve">), </w:t>
      </w:r>
      <w:r w:rsidR="00BA407F" w:rsidRPr="009A3DB4">
        <w:rPr>
          <w:rFonts w:cstheme="minorHAnsi"/>
          <w:color w:val="000000"/>
        </w:rPr>
        <w:t>resulting in an</w:t>
      </w:r>
      <w:r w:rsidRPr="009A3DB4">
        <w:rPr>
          <w:rFonts w:cstheme="minorHAnsi"/>
          <w:color w:val="000000"/>
        </w:rPr>
        <w:t xml:space="preserve"> increase in elimination half-life from 4</w:t>
      </w:r>
      <w:r w:rsidR="00BA407F" w:rsidRPr="009A3DB4">
        <w:rPr>
          <w:rFonts w:cstheme="minorHAnsi"/>
          <w:color w:val="000000"/>
        </w:rPr>
        <w:t>2</w:t>
      </w:r>
      <w:r w:rsidR="0087046F" w:rsidRPr="009A3DB4">
        <w:rPr>
          <w:rFonts w:cstheme="minorHAnsi"/>
          <w:color w:val="000000"/>
        </w:rPr>
        <w:t> </w:t>
      </w:r>
      <w:r w:rsidRPr="009A3DB4">
        <w:rPr>
          <w:rFonts w:cstheme="minorHAnsi"/>
          <w:color w:val="000000"/>
        </w:rPr>
        <w:t>h to 120</w:t>
      </w:r>
      <w:r w:rsidR="0087046F" w:rsidRPr="009A3DB4">
        <w:rPr>
          <w:rFonts w:cstheme="minorHAnsi"/>
          <w:color w:val="000000"/>
        </w:rPr>
        <w:t> </w:t>
      </w:r>
      <w:r w:rsidRPr="009A3DB4">
        <w:rPr>
          <w:rFonts w:cstheme="minorHAnsi"/>
          <w:color w:val="000000"/>
        </w:rPr>
        <w:t>h.</w:t>
      </w:r>
    </w:p>
    <w:p w14:paraId="62D9BFB2" w14:textId="0350CC03" w:rsidR="00C15FE0" w:rsidRPr="009A3DB4" w:rsidRDefault="001B3165" w:rsidP="00CC0FA8">
      <w:pPr>
        <w:spacing w:line="480" w:lineRule="auto"/>
      </w:pPr>
      <w:r w:rsidRPr="009A3DB4">
        <w:t xml:space="preserve">The NONMEM control stream is available in the </w:t>
      </w:r>
      <w:r w:rsidRPr="009A3DB4">
        <w:rPr>
          <w:b/>
          <w:bCs/>
        </w:rPr>
        <w:t>Supplementary Code</w:t>
      </w:r>
      <w:r w:rsidRPr="009A3DB4">
        <w:t>.</w:t>
      </w:r>
    </w:p>
    <w:p w14:paraId="314234C1" w14:textId="5A122DC2" w:rsidR="00CD31A2" w:rsidRPr="009A3DB4" w:rsidRDefault="007122B2" w:rsidP="00DC57F4">
      <w:pPr>
        <w:pStyle w:val="Heading2"/>
        <w:numPr>
          <w:ilvl w:val="1"/>
          <w:numId w:val="19"/>
        </w:numPr>
      </w:pPr>
      <w:r w:rsidRPr="009A3DB4">
        <w:lastRenderedPageBreak/>
        <w:t xml:space="preserve">Dose finding </w:t>
      </w:r>
      <w:proofErr w:type="gramStart"/>
      <w:r w:rsidR="009D3445" w:rsidRPr="009A3DB4">
        <w:t>simulations</w:t>
      </w:r>
      <w:proofErr w:type="gramEnd"/>
    </w:p>
    <w:p w14:paraId="4807EFF0" w14:textId="73FB8DDE" w:rsidR="00610AEB" w:rsidRPr="009A3DB4" w:rsidRDefault="005332AF" w:rsidP="00DC57F4">
      <w:pPr>
        <w:pStyle w:val="Heading3"/>
      </w:pPr>
      <w:r w:rsidRPr="009A3DB4">
        <w:t xml:space="preserve">Identification of </w:t>
      </w:r>
      <w:r w:rsidR="00FA6B6C" w:rsidRPr="009A3DB4">
        <w:t xml:space="preserve">an </w:t>
      </w:r>
      <w:r w:rsidR="006B26D2" w:rsidRPr="009A3DB4">
        <w:t xml:space="preserve">optimized </w:t>
      </w:r>
      <w:r w:rsidR="00FA6B6C" w:rsidRPr="009A3DB4">
        <w:t>inclusive</w:t>
      </w:r>
      <w:r w:rsidRPr="009A3DB4">
        <w:t xml:space="preserve"> loading</w:t>
      </w:r>
      <w:r w:rsidR="00610AEB" w:rsidRPr="009A3DB4">
        <w:t xml:space="preserve"> regimen</w:t>
      </w:r>
    </w:p>
    <w:p w14:paraId="744FC532" w14:textId="121DCA9B" w:rsidR="006B26D2" w:rsidRPr="009A3DB4" w:rsidRDefault="009C4DE0" w:rsidP="006B26D2">
      <w:pPr>
        <w:spacing w:line="480" w:lineRule="auto"/>
        <w:jc w:val="both"/>
        <w:rPr>
          <w:szCs w:val="21"/>
        </w:rPr>
      </w:pPr>
      <w:r>
        <w:rPr>
          <w:rFonts w:cstheme="minorHAnsi"/>
        </w:rPr>
        <w:t>S</w:t>
      </w:r>
      <w:r w:rsidR="006B26D2" w:rsidRPr="009A3DB4">
        <w:rPr>
          <w:rFonts w:cstheme="minorHAnsi"/>
        </w:rPr>
        <w:t xml:space="preserve">tandard dosing </w:t>
      </w:r>
      <w:r w:rsidR="006B26D2" w:rsidRPr="009A3DB4">
        <w:rPr>
          <w:rFonts w:eastAsia="Lato-Regular" w:cstheme="minorHAnsi"/>
        </w:rPr>
        <w:t xml:space="preserve">resulted in clinically </w:t>
      </w:r>
      <w:r w:rsidR="00DF1A24" w:rsidRPr="009A3DB4">
        <w:rPr>
          <w:rFonts w:eastAsia="Lato-Regular" w:cstheme="minorHAnsi"/>
        </w:rPr>
        <w:t>u</w:t>
      </w:r>
      <w:r w:rsidR="006B26D2" w:rsidRPr="009A3DB4">
        <w:rPr>
          <w:rFonts w:eastAsia="Lato-Regular" w:cstheme="minorHAnsi"/>
        </w:rPr>
        <w:t xml:space="preserve">nacceptable PTA </w:t>
      </w:r>
      <w:r>
        <w:rPr>
          <w:rFonts w:eastAsia="Lato-Regular" w:cstheme="minorHAnsi"/>
        </w:rPr>
        <w:t>at the end of</w:t>
      </w:r>
      <w:r w:rsidRPr="009A3DB4">
        <w:rPr>
          <w:rFonts w:eastAsia="Lato-Regular" w:cstheme="minorHAnsi"/>
        </w:rPr>
        <w:t xml:space="preserve"> </w:t>
      </w:r>
      <w:r w:rsidR="006B26D2" w:rsidRPr="009A3DB4">
        <w:rPr>
          <w:rFonts w:eastAsia="Lato-Regular" w:cstheme="minorHAnsi"/>
        </w:rPr>
        <w:t>day</w:t>
      </w:r>
      <w:r w:rsidR="006873F5" w:rsidRPr="009A3DB4">
        <w:rPr>
          <w:rFonts w:eastAsia="Lato-Regular" w:cstheme="minorHAnsi"/>
        </w:rPr>
        <w:t> </w:t>
      </w:r>
      <w:r w:rsidR="006B26D2" w:rsidRPr="009A3DB4">
        <w:rPr>
          <w:rFonts w:eastAsia="Lato-Regular" w:cstheme="minorHAnsi"/>
        </w:rPr>
        <w:t>2 across the entire bodyweight range (50-150</w:t>
      </w:r>
      <w:r w:rsidR="0087046F" w:rsidRPr="009A3DB4">
        <w:rPr>
          <w:rFonts w:eastAsia="Lato-Regular" w:cstheme="minorHAnsi"/>
        </w:rPr>
        <w:t> </w:t>
      </w:r>
      <w:r w:rsidR="006B26D2" w:rsidRPr="009A3DB4">
        <w:rPr>
          <w:rFonts w:eastAsia="Lato-Regular" w:cstheme="minorHAnsi"/>
        </w:rPr>
        <w:t>kg) (</w:t>
      </w:r>
      <w:r w:rsidR="006B26D2" w:rsidRPr="009A3DB4">
        <w:rPr>
          <w:rFonts w:eastAsia="Lato-Regular" w:cstheme="minorHAnsi"/>
          <w:b/>
          <w:bCs/>
        </w:rPr>
        <w:t>Figure</w:t>
      </w:r>
      <w:r w:rsidR="0087046F" w:rsidRPr="009A3DB4">
        <w:rPr>
          <w:rFonts w:eastAsia="Lato-Regular" w:cstheme="minorHAnsi"/>
          <w:b/>
          <w:bCs/>
        </w:rPr>
        <w:t> </w:t>
      </w:r>
      <w:r w:rsidR="00E924FA">
        <w:rPr>
          <w:rFonts w:eastAsia="Lato-Regular" w:cstheme="minorHAnsi"/>
          <w:b/>
          <w:bCs/>
        </w:rPr>
        <w:t>1</w:t>
      </w:r>
      <w:r w:rsidR="006B26D2" w:rsidRPr="009A3DB4">
        <w:rPr>
          <w:rFonts w:eastAsia="Lato-Regular" w:cstheme="minorHAnsi"/>
          <w:b/>
          <w:bCs/>
        </w:rPr>
        <w:t>A</w:t>
      </w:r>
      <w:r w:rsidR="006B26D2" w:rsidRPr="009A3DB4">
        <w:rPr>
          <w:rFonts w:eastAsia="Lato-Regular" w:cstheme="minorHAnsi"/>
        </w:rPr>
        <w:t>). A loading regimen of 300</w:t>
      </w:r>
      <w:r w:rsidR="0087046F" w:rsidRPr="009A3DB4">
        <w:rPr>
          <w:rFonts w:eastAsia="Lato-Regular" w:cstheme="minorHAnsi"/>
        </w:rPr>
        <w:t> </w:t>
      </w:r>
      <w:r w:rsidR="006B26D2" w:rsidRPr="009A3DB4">
        <w:rPr>
          <w:rFonts w:eastAsia="Lato-Regular" w:cstheme="minorHAnsi"/>
        </w:rPr>
        <w:t xml:space="preserve">mg q12h for two instead of one day resulted in </w:t>
      </w:r>
      <w:r w:rsidR="006B26D2" w:rsidRPr="009A3DB4">
        <w:rPr>
          <w:szCs w:val="21"/>
        </w:rPr>
        <w:t xml:space="preserve">clinically acceptable PTA </w:t>
      </w:r>
      <w:r w:rsidR="00D515E2">
        <w:rPr>
          <w:szCs w:val="21"/>
        </w:rPr>
        <w:t>at the end of</w:t>
      </w:r>
      <w:r w:rsidR="00D515E2" w:rsidRPr="009A3DB4">
        <w:rPr>
          <w:szCs w:val="21"/>
        </w:rPr>
        <w:t xml:space="preserve"> </w:t>
      </w:r>
      <w:r w:rsidR="006B26D2" w:rsidRPr="009A3DB4">
        <w:rPr>
          <w:szCs w:val="21"/>
        </w:rPr>
        <w:t>day</w:t>
      </w:r>
      <w:r w:rsidR="0087046F" w:rsidRPr="009A3DB4">
        <w:rPr>
          <w:szCs w:val="21"/>
        </w:rPr>
        <w:t> </w:t>
      </w:r>
      <w:r w:rsidR="006B26D2" w:rsidRPr="009A3DB4">
        <w:rPr>
          <w:szCs w:val="21"/>
        </w:rPr>
        <w:t xml:space="preserve">2 for patients with bodyweight below 100 kg. A 300 mg </w:t>
      </w:r>
      <w:r w:rsidR="00385E3A" w:rsidRPr="009A3DB4">
        <w:rPr>
          <w:szCs w:val="21"/>
        </w:rPr>
        <w:t>q8h</w:t>
      </w:r>
      <w:r w:rsidR="006B26D2" w:rsidRPr="009A3DB4">
        <w:rPr>
          <w:szCs w:val="21"/>
        </w:rPr>
        <w:t xml:space="preserve"> loading regimen for the first two days resulted in clinically acceptable PTA in patients with a bodyweight of 100</w:t>
      </w:r>
      <w:r w:rsidR="0087046F" w:rsidRPr="009A3DB4">
        <w:rPr>
          <w:szCs w:val="21"/>
        </w:rPr>
        <w:t> </w:t>
      </w:r>
      <w:r w:rsidR="006B26D2" w:rsidRPr="009A3DB4">
        <w:rPr>
          <w:szCs w:val="21"/>
        </w:rPr>
        <w:t>kg or higher (</w:t>
      </w:r>
      <w:r w:rsidR="006B26D2" w:rsidRPr="009A3DB4">
        <w:rPr>
          <w:b/>
          <w:bCs/>
          <w:szCs w:val="21"/>
        </w:rPr>
        <w:t>Table</w:t>
      </w:r>
      <w:r w:rsidR="0087046F" w:rsidRPr="009A3DB4">
        <w:rPr>
          <w:b/>
          <w:bCs/>
          <w:szCs w:val="21"/>
        </w:rPr>
        <w:t> </w:t>
      </w:r>
      <w:r w:rsidR="004818C8">
        <w:rPr>
          <w:b/>
          <w:bCs/>
          <w:szCs w:val="21"/>
        </w:rPr>
        <w:t>S</w:t>
      </w:r>
      <w:r w:rsidR="006B26D2" w:rsidRPr="009A3DB4">
        <w:rPr>
          <w:b/>
          <w:bCs/>
          <w:szCs w:val="21"/>
        </w:rPr>
        <w:t>3</w:t>
      </w:r>
      <w:r w:rsidR="006B26D2" w:rsidRPr="009A3DB4">
        <w:rPr>
          <w:szCs w:val="21"/>
        </w:rPr>
        <w:t>).</w:t>
      </w:r>
    </w:p>
    <w:p w14:paraId="10980B62" w14:textId="015CAE43" w:rsidR="005332AF" w:rsidRPr="009A3DB4" w:rsidRDefault="005332AF" w:rsidP="00DC57F4">
      <w:pPr>
        <w:pStyle w:val="Heading3"/>
      </w:pPr>
      <w:r w:rsidRPr="009A3DB4">
        <w:t xml:space="preserve">Identification of an </w:t>
      </w:r>
      <w:r w:rsidR="00DA43C8" w:rsidRPr="009A3DB4">
        <w:t xml:space="preserve">optimized </w:t>
      </w:r>
      <w:r w:rsidRPr="009A3DB4">
        <w:t>inclusive maintenance regimen</w:t>
      </w:r>
    </w:p>
    <w:p w14:paraId="14ECA757" w14:textId="70D20C04" w:rsidR="006B26D2" w:rsidRPr="009A3DB4" w:rsidRDefault="006B26D2" w:rsidP="006B26D2">
      <w:pPr>
        <w:spacing w:line="480" w:lineRule="auto"/>
        <w:jc w:val="both"/>
        <w:rPr>
          <w:rFonts w:eastAsia="Lato-Regular" w:cstheme="minorHAnsi"/>
          <w:sz w:val="21"/>
          <w:szCs w:val="21"/>
        </w:rPr>
      </w:pPr>
      <w:r w:rsidRPr="009A3DB4">
        <w:rPr>
          <w:szCs w:val="21"/>
        </w:rPr>
        <w:t>Standard 300</w:t>
      </w:r>
      <w:r w:rsidR="0087046F" w:rsidRPr="009A3DB4">
        <w:rPr>
          <w:szCs w:val="21"/>
        </w:rPr>
        <w:t> </w:t>
      </w:r>
      <w:r w:rsidRPr="009A3DB4">
        <w:rPr>
          <w:szCs w:val="21"/>
        </w:rPr>
        <w:t>mg q</w:t>
      </w:r>
      <w:r w:rsidR="00071073" w:rsidRPr="009A3DB4">
        <w:rPr>
          <w:szCs w:val="21"/>
        </w:rPr>
        <w:t xml:space="preserve">24h </w:t>
      </w:r>
      <w:r w:rsidRPr="009A3DB4">
        <w:rPr>
          <w:szCs w:val="21"/>
        </w:rPr>
        <w:t xml:space="preserve">maintenance dosing resulted in clinically </w:t>
      </w:r>
      <w:r w:rsidR="00DF1A24" w:rsidRPr="009A3DB4">
        <w:rPr>
          <w:szCs w:val="21"/>
        </w:rPr>
        <w:t>u</w:t>
      </w:r>
      <w:r w:rsidRPr="009A3DB4">
        <w:rPr>
          <w:szCs w:val="21"/>
        </w:rPr>
        <w:t xml:space="preserve">nacceptable PTA </w:t>
      </w:r>
      <w:r w:rsidR="005A5844" w:rsidRPr="009A3DB4">
        <w:rPr>
          <w:szCs w:val="21"/>
        </w:rPr>
        <w:t>on</w:t>
      </w:r>
      <w:r w:rsidRPr="009A3DB4">
        <w:rPr>
          <w:szCs w:val="21"/>
        </w:rPr>
        <w:t xml:space="preserve"> days</w:t>
      </w:r>
      <w:r w:rsidR="006873F5" w:rsidRPr="009A3DB4">
        <w:rPr>
          <w:szCs w:val="21"/>
        </w:rPr>
        <w:t xml:space="preserve"> </w:t>
      </w:r>
      <w:r w:rsidRPr="009A3DB4">
        <w:rPr>
          <w:szCs w:val="21"/>
        </w:rPr>
        <w:t>7 and 14 across the entire bodyweight range.</w:t>
      </w:r>
      <w:r w:rsidRPr="009A3DB4">
        <w:t xml:space="preserve"> Increasing the maintenance dose from 300</w:t>
      </w:r>
      <w:r w:rsidR="0087046F" w:rsidRPr="009A3DB4">
        <w:t> </w:t>
      </w:r>
      <w:r w:rsidRPr="009A3DB4">
        <w:t>mg to 400</w:t>
      </w:r>
      <w:r w:rsidR="0087046F" w:rsidRPr="009A3DB4">
        <w:t> </w:t>
      </w:r>
      <w:r w:rsidRPr="009A3DB4">
        <w:t>mg q</w:t>
      </w:r>
      <w:r w:rsidR="00071073" w:rsidRPr="009A3DB4">
        <w:t>24h</w:t>
      </w:r>
      <w:r w:rsidRPr="009A3DB4">
        <w:t xml:space="preserve"> resulted in clinically acceptable PTA across the entire bodyweight range (</w:t>
      </w:r>
      <w:r w:rsidRPr="009A3DB4">
        <w:rPr>
          <w:b/>
        </w:rPr>
        <w:t>Figure</w:t>
      </w:r>
      <w:r w:rsidR="0087046F" w:rsidRPr="009A3DB4">
        <w:rPr>
          <w:b/>
        </w:rPr>
        <w:t> </w:t>
      </w:r>
      <w:r w:rsidR="00E924FA">
        <w:rPr>
          <w:b/>
        </w:rPr>
        <w:t>1</w:t>
      </w:r>
      <w:r w:rsidRPr="009A3DB4">
        <w:rPr>
          <w:b/>
        </w:rPr>
        <w:t>B</w:t>
      </w:r>
      <w:r w:rsidRPr="009A3DB4">
        <w:rPr>
          <w:bCs/>
        </w:rPr>
        <w:t xml:space="preserve">, </w:t>
      </w:r>
      <w:r w:rsidRPr="009A3DB4">
        <w:rPr>
          <w:b/>
        </w:rPr>
        <w:t>Figure</w:t>
      </w:r>
      <w:r w:rsidR="0087046F" w:rsidRPr="009A3DB4">
        <w:rPr>
          <w:b/>
        </w:rPr>
        <w:t> </w:t>
      </w:r>
      <w:r w:rsidR="00E924FA">
        <w:rPr>
          <w:b/>
        </w:rPr>
        <w:t>1</w:t>
      </w:r>
      <w:r w:rsidRPr="009A3DB4">
        <w:rPr>
          <w:b/>
        </w:rPr>
        <w:t>C</w:t>
      </w:r>
      <w:r w:rsidR="0087046F" w:rsidRPr="009A3DB4">
        <w:rPr>
          <w:bCs/>
        </w:rPr>
        <w:t>,</w:t>
      </w:r>
      <w:r w:rsidRPr="009A3DB4">
        <w:rPr>
          <w:bCs/>
        </w:rPr>
        <w:t xml:space="preserve"> and </w:t>
      </w:r>
      <w:r w:rsidRPr="009A3DB4">
        <w:rPr>
          <w:b/>
        </w:rPr>
        <w:t>T</w:t>
      </w:r>
      <w:r w:rsidRPr="009A3DB4">
        <w:rPr>
          <w:b/>
          <w:bCs/>
        </w:rPr>
        <w:t>able</w:t>
      </w:r>
      <w:r w:rsidR="0087046F" w:rsidRPr="009A3DB4">
        <w:rPr>
          <w:b/>
          <w:bCs/>
        </w:rPr>
        <w:t> </w:t>
      </w:r>
      <w:r w:rsidR="004818C8">
        <w:rPr>
          <w:b/>
          <w:bCs/>
        </w:rPr>
        <w:t>S</w:t>
      </w:r>
      <w:r w:rsidRPr="009A3DB4">
        <w:rPr>
          <w:b/>
          <w:bCs/>
        </w:rPr>
        <w:t>3</w:t>
      </w:r>
      <w:r w:rsidRPr="009A3DB4">
        <w:t>).</w:t>
      </w:r>
    </w:p>
    <w:p w14:paraId="3AA6D572" w14:textId="1FFD9C67" w:rsidR="003E7549" w:rsidRPr="009A3DB4" w:rsidRDefault="005332AF" w:rsidP="00DC57F4">
      <w:pPr>
        <w:pStyle w:val="Heading3"/>
      </w:pPr>
      <w:r w:rsidRPr="009A3DB4">
        <w:t>Impact of the</w:t>
      </w:r>
      <w:r w:rsidR="00DA43C8" w:rsidRPr="009A3DB4">
        <w:t xml:space="preserve"> optimized</w:t>
      </w:r>
      <w:r w:rsidRPr="009A3DB4">
        <w:t xml:space="preserve"> inclusive dosing regimen </w:t>
      </w:r>
      <w:r w:rsidR="00714E84" w:rsidRPr="009A3DB4">
        <w:t>on the patient population</w:t>
      </w:r>
    </w:p>
    <w:p w14:paraId="67108387" w14:textId="6D7D6E37" w:rsidR="009B32C8" w:rsidRPr="009A3DB4" w:rsidRDefault="00C750A1" w:rsidP="0089432B">
      <w:pPr>
        <w:spacing w:line="480" w:lineRule="auto"/>
        <w:jc w:val="both"/>
        <w:rPr>
          <w:rFonts w:asciiTheme="majorHAnsi" w:hAnsiTheme="majorHAnsi" w:cstheme="majorBidi"/>
          <w:b/>
          <w:color w:val="2F5496" w:themeColor="accent1" w:themeShade="BF"/>
          <w:sz w:val="36"/>
          <w:szCs w:val="32"/>
        </w:rPr>
      </w:pPr>
      <w:r w:rsidRPr="009A3DB4">
        <w:rPr>
          <w:szCs w:val="21"/>
        </w:rPr>
        <w:t>T</w:t>
      </w:r>
      <w:r w:rsidR="00326BAD" w:rsidRPr="009A3DB4">
        <w:rPr>
          <w:szCs w:val="21"/>
        </w:rPr>
        <w:t xml:space="preserve">he standard dosing regimen resulted in clinically </w:t>
      </w:r>
      <w:r w:rsidR="00DF1A24" w:rsidRPr="009A3DB4">
        <w:rPr>
          <w:szCs w:val="21"/>
        </w:rPr>
        <w:t>u</w:t>
      </w:r>
      <w:r w:rsidR="00326BAD" w:rsidRPr="009A3DB4">
        <w:rPr>
          <w:szCs w:val="21"/>
        </w:rPr>
        <w:t>nacceptable PTA throughout the two</w:t>
      </w:r>
      <w:r w:rsidR="00CD0F2D" w:rsidRPr="009A3DB4">
        <w:rPr>
          <w:szCs w:val="21"/>
        </w:rPr>
        <w:t>-</w:t>
      </w:r>
      <w:r w:rsidR="00326BAD" w:rsidRPr="009A3DB4">
        <w:rPr>
          <w:szCs w:val="21"/>
        </w:rPr>
        <w:t>week treatment period (</w:t>
      </w:r>
      <w:r w:rsidR="00326BAD" w:rsidRPr="009A3DB4">
        <w:rPr>
          <w:b/>
          <w:szCs w:val="21"/>
        </w:rPr>
        <w:t>Figure</w:t>
      </w:r>
      <w:r w:rsidR="0087046F" w:rsidRPr="009A3DB4">
        <w:rPr>
          <w:b/>
          <w:szCs w:val="21"/>
        </w:rPr>
        <w:t> </w:t>
      </w:r>
      <w:r w:rsidR="004F1873">
        <w:rPr>
          <w:b/>
          <w:szCs w:val="21"/>
        </w:rPr>
        <w:t>2</w:t>
      </w:r>
      <w:r w:rsidR="00326BAD" w:rsidRPr="009A3DB4">
        <w:rPr>
          <w:b/>
          <w:szCs w:val="21"/>
        </w:rPr>
        <w:t>A</w:t>
      </w:r>
      <w:r w:rsidR="00326BAD" w:rsidRPr="009A3DB4">
        <w:rPr>
          <w:bCs/>
          <w:szCs w:val="21"/>
        </w:rPr>
        <w:t xml:space="preserve">, </w:t>
      </w:r>
      <w:r w:rsidR="00326BAD" w:rsidRPr="009A3DB4">
        <w:rPr>
          <w:b/>
          <w:szCs w:val="21"/>
        </w:rPr>
        <w:t>Table</w:t>
      </w:r>
      <w:r w:rsidR="0087046F" w:rsidRPr="009A3DB4">
        <w:rPr>
          <w:b/>
          <w:szCs w:val="21"/>
        </w:rPr>
        <w:t> </w:t>
      </w:r>
      <w:r w:rsidR="00E83771">
        <w:rPr>
          <w:b/>
          <w:szCs w:val="21"/>
        </w:rPr>
        <w:t>S</w:t>
      </w:r>
      <w:r w:rsidR="00326BAD" w:rsidRPr="009A3DB4">
        <w:rPr>
          <w:b/>
          <w:szCs w:val="21"/>
        </w:rPr>
        <w:t>4</w:t>
      </w:r>
      <w:r w:rsidR="00326BAD" w:rsidRPr="009A3DB4">
        <w:rPr>
          <w:szCs w:val="21"/>
        </w:rPr>
        <w:t xml:space="preserve">). </w:t>
      </w:r>
      <w:r w:rsidRPr="009A3DB4">
        <w:rPr>
          <w:szCs w:val="21"/>
        </w:rPr>
        <w:t>T</w:t>
      </w:r>
      <w:r w:rsidR="00326BAD" w:rsidRPr="009A3DB4">
        <w:rPr>
          <w:szCs w:val="21"/>
        </w:rPr>
        <w:t>he optimized inclusive dosing regimen resulted in clinically acceptable PTA as fast as day</w:t>
      </w:r>
      <w:r w:rsidR="006873F5" w:rsidRPr="009A3DB4">
        <w:rPr>
          <w:szCs w:val="21"/>
        </w:rPr>
        <w:t> </w:t>
      </w:r>
      <w:r w:rsidR="00326BAD" w:rsidRPr="009A3DB4">
        <w:rPr>
          <w:szCs w:val="21"/>
        </w:rPr>
        <w:t>2 until day</w:t>
      </w:r>
      <w:r w:rsidR="006873F5" w:rsidRPr="009A3DB4">
        <w:rPr>
          <w:szCs w:val="21"/>
        </w:rPr>
        <w:t> </w:t>
      </w:r>
      <w:r w:rsidR="00326BAD" w:rsidRPr="009A3DB4">
        <w:rPr>
          <w:szCs w:val="21"/>
        </w:rPr>
        <w:t>14 (</w:t>
      </w:r>
      <w:r w:rsidR="00326BAD" w:rsidRPr="009A3DB4">
        <w:rPr>
          <w:b/>
          <w:szCs w:val="21"/>
        </w:rPr>
        <w:t>Figure</w:t>
      </w:r>
      <w:r w:rsidR="0087046F" w:rsidRPr="009A3DB4">
        <w:rPr>
          <w:b/>
          <w:szCs w:val="21"/>
        </w:rPr>
        <w:t> </w:t>
      </w:r>
      <w:r w:rsidR="004F1873">
        <w:rPr>
          <w:b/>
          <w:szCs w:val="21"/>
        </w:rPr>
        <w:t>2</w:t>
      </w:r>
      <w:r w:rsidR="00326BAD" w:rsidRPr="009A3DB4">
        <w:rPr>
          <w:b/>
          <w:szCs w:val="21"/>
        </w:rPr>
        <w:t>A</w:t>
      </w:r>
      <w:r w:rsidR="00326BAD" w:rsidRPr="009A3DB4">
        <w:rPr>
          <w:bCs/>
          <w:szCs w:val="21"/>
        </w:rPr>
        <w:t xml:space="preserve">, </w:t>
      </w:r>
      <w:r w:rsidR="00326BAD" w:rsidRPr="009A3DB4">
        <w:rPr>
          <w:b/>
          <w:szCs w:val="21"/>
        </w:rPr>
        <w:t>Table</w:t>
      </w:r>
      <w:r w:rsidR="0087046F" w:rsidRPr="009A3DB4">
        <w:rPr>
          <w:b/>
          <w:szCs w:val="21"/>
        </w:rPr>
        <w:t> </w:t>
      </w:r>
      <w:r w:rsidR="00E83771">
        <w:rPr>
          <w:b/>
          <w:szCs w:val="21"/>
        </w:rPr>
        <w:t>S</w:t>
      </w:r>
      <w:r w:rsidR="00326BAD" w:rsidRPr="009A3DB4">
        <w:rPr>
          <w:b/>
          <w:szCs w:val="21"/>
        </w:rPr>
        <w:t>4</w:t>
      </w:r>
      <w:r w:rsidR="00326BAD" w:rsidRPr="009A3DB4">
        <w:rPr>
          <w:szCs w:val="21"/>
        </w:rPr>
        <w:t xml:space="preserve">). </w:t>
      </w:r>
      <w:r w:rsidR="00CD0F2D" w:rsidRPr="009A3DB4">
        <w:rPr>
          <w:szCs w:val="21"/>
        </w:rPr>
        <w:t>The</w:t>
      </w:r>
      <w:r w:rsidR="00326BAD" w:rsidRPr="009A3DB4">
        <w:rPr>
          <w:szCs w:val="21"/>
        </w:rPr>
        <w:t xml:space="preserve"> total posaconazole dose for a two-week treatment course</w:t>
      </w:r>
      <w:r w:rsidR="00CD0F2D" w:rsidRPr="009A3DB4">
        <w:rPr>
          <w:szCs w:val="21"/>
        </w:rPr>
        <w:t xml:space="preserve"> increased</w:t>
      </w:r>
      <w:r w:rsidR="00326BAD" w:rsidRPr="009A3DB4">
        <w:rPr>
          <w:szCs w:val="21"/>
        </w:rPr>
        <w:t xml:space="preserve"> from 4500</w:t>
      </w:r>
      <w:r w:rsidR="0087046F" w:rsidRPr="009A3DB4">
        <w:rPr>
          <w:szCs w:val="21"/>
        </w:rPr>
        <w:t> </w:t>
      </w:r>
      <w:r w:rsidR="00326BAD" w:rsidRPr="009A3DB4">
        <w:rPr>
          <w:szCs w:val="21"/>
        </w:rPr>
        <w:t>mg</w:t>
      </w:r>
      <w:r w:rsidR="0087046F" w:rsidRPr="009A3DB4">
        <w:rPr>
          <w:szCs w:val="21"/>
        </w:rPr>
        <w:t xml:space="preserve"> per </w:t>
      </w:r>
      <w:r w:rsidR="00326BAD" w:rsidRPr="009A3DB4">
        <w:rPr>
          <w:szCs w:val="21"/>
        </w:rPr>
        <w:t>patient to 6055</w:t>
      </w:r>
      <w:r w:rsidR="0087046F" w:rsidRPr="009A3DB4">
        <w:rPr>
          <w:szCs w:val="21"/>
        </w:rPr>
        <w:t> </w:t>
      </w:r>
      <w:r w:rsidR="00326BAD" w:rsidRPr="009A3DB4">
        <w:rPr>
          <w:szCs w:val="21"/>
        </w:rPr>
        <w:t>mg</w:t>
      </w:r>
      <w:r w:rsidR="0087046F" w:rsidRPr="009A3DB4">
        <w:rPr>
          <w:szCs w:val="21"/>
        </w:rPr>
        <w:t xml:space="preserve"> per </w:t>
      </w:r>
      <w:r w:rsidR="00326BAD" w:rsidRPr="009A3DB4">
        <w:rPr>
          <w:szCs w:val="21"/>
        </w:rPr>
        <w:t>patient</w:t>
      </w:r>
      <w:r w:rsidR="00CD0F2D" w:rsidRPr="009A3DB4">
        <w:rPr>
          <w:szCs w:val="21"/>
        </w:rPr>
        <w:t xml:space="preserve"> and</w:t>
      </w:r>
      <w:r w:rsidR="00326BAD" w:rsidRPr="009A3DB4">
        <w:rPr>
          <w:szCs w:val="21"/>
        </w:rPr>
        <w:t xml:space="preserve"> resulted in a significant increase in PTA% </w:t>
      </w:r>
      <w:r w:rsidR="005A5844" w:rsidRPr="009A3DB4">
        <w:rPr>
          <w:szCs w:val="21"/>
        </w:rPr>
        <w:t>on</w:t>
      </w:r>
      <w:r w:rsidR="00326BAD" w:rsidRPr="009A3DB4">
        <w:rPr>
          <w:szCs w:val="21"/>
        </w:rPr>
        <w:t xml:space="preserve"> days 2 (from 75% to 97%), 7 (88% to 94%), and 14 (88% to 94%). </w:t>
      </w:r>
      <w:r w:rsidR="005102D7" w:rsidRPr="009A3DB4">
        <w:t>The optimized dosing regimen resulted in higher exposure compared to the standard regimen</w:t>
      </w:r>
      <w:r w:rsidR="00757987" w:rsidRPr="009A3DB4">
        <w:t xml:space="preserve"> (</w:t>
      </w:r>
      <w:r w:rsidR="00757987" w:rsidRPr="009A3DB4">
        <w:rPr>
          <w:b/>
          <w:bCs/>
        </w:rPr>
        <w:t>Figure</w:t>
      </w:r>
      <w:r w:rsidR="0087046F" w:rsidRPr="009A3DB4">
        <w:rPr>
          <w:b/>
          <w:bCs/>
        </w:rPr>
        <w:t> </w:t>
      </w:r>
      <w:r w:rsidR="00C2376E">
        <w:rPr>
          <w:b/>
          <w:bCs/>
        </w:rPr>
        <w:t>S5</w:t>
      </w:r>
      <w:r w:rsidR="00757987" w:rsidRPr="009A3DB4">
        <w:t xml:space="preserve">, </w:t>
      </w:r>
      <w:r w:rsidR="00757987" w:rsidRPr="009A3DB4">
        <w:rPr>
          <w:b/>
          <w:bCs/>
        </w:rPr>
        <w:t>Figure</w:t>
      </w:r>
      <w:r w:rsidR="0087046F" w:rsidRPr="009A3DB4">
        <w:rPr>
          <w:b/>
          <w:bCs/>
        </w:rPr>
        <w:t> </w:t>
      </w:r>
      <w:r w:rsidR="00757987" w:rsidRPr="009A3DB4">
        <w:rPr>
          <w:b/>
          <w:bCs/>
        </w:rPr>
        <w:t>S</w:t>
      </w:r>
      <w:r w:rsidR="00EA249C" w:rsidRPr="009A3DB4">
        <w:rPr>
          <w:b/>
          <w:bCs/>
        </w:rPr>
        <w:t>6</w:t>
      </w:r>
      <w:r w:rsidR="0087046F" w:rsidRPr="009A3DB4">
        <w:t>,</w:t>
      </w:r>
      <w:r w:rsidR="00757987" w:rsidRPr="009A3DB4">
        <w:t xml:space="preserve"> and </w:t>
      </w:r>
      <w:r w:rsidR="00757987" w:rsidRPr="009A3DB4">
        <w:rPr>
          <w:b/>
          <w:bCs/>
        </w:rPr>
        <w:t>Table</w:t>
      </w:r>
      <w:r w:rsidR="0087046F" w:rsidRPr="009A3DB4">
        <w:rPr>
          <w:b/>
          <w:bCs/>
        </w:rPr>
        <w:t> </w:t>
      </w:r>
      <w:r w:rsidR="00E83771">
        <w:rPr>
          <w:b/>
          <w:bCs/>
        </w:rPr>
        <w:t>S</w:t>
      </w:r>
      <w:r w:rsidR="00757987" w:rsidRPr="009A3DB4">
        <w:rPr>
          <w:b/>
          <w:bCs/>
        </w:rPr>
        <w:t>4)</w:t>
      </w:r>
      <w:r w:rsidR="005102D7" w:rsidRPr="009A3DB4">
        <w:t xml:space="preserve">. </w:t>
      </w:r>
      <w:r w:rsidR="004574E9" w:rsidRPr="009A3DB4">
        <w:t xml:space="preserve">The median </w:t>
      </w:r>
      <w:proofErr w:type="spellStart"/>
      <w:r w:rsidR="004574E9" w:rsidRPr="009A3DB4">
        <w:t>C</w:t>
      </w:r>
      <w:r w:rsidR="004574E9" w:rsidRPr="009A3DB4">
        <w:rPr>
          <w:vertAlign w:val="subscript"/>
        </w:rPr>
        <w:t>min</w:t>
      </w:r>
      <w:proofErr w:type="spellEnd"/>
      <w:r w:rsidR="00D86FFC" w:rsidRPr="009A3DB4">
        <w:t xml:space="preserve"> </w:t>
      </w:r>
      <w:r w:rsidR="004574E9" w:rsidRPr="009A3DB4">
        <w:t xml:space="preserve">(interquartile range) </w:t>
      </w:r>
      <w:r w:rsidR="00DF1A24" w:rsidRPr="009A3DB4">
        <w:t xml:space="preserve">was </w:t>
      </w:r>
      <w:r w:rsidR="004574E9" w:rsidRPr="009A3DB4">
        <w:t xml:space="preserve">higher for the optimized dosing regimen than the standard regimen </w:t>
      </w:r>
      <w:r w:rsidR="005A5844" w:rsidRPr="009A3DB4">
        <w:t>on</w:t>
      </w:r>
      <w:r w:rsidR="004574E9" w:rsidRPr="009A3DB4">
        <w:t xml:space="preserve"> days 2, 7, and 14, with values of 1.97</w:t>
      </w:r>
      <w:r w:rsidR="0087046F" w:rsidRPr="009A3DB4">
        <w:t> </w:t>
      </w:r>
      <w:r w:rsidR="004574E9" w:rsidRPr="009A3DB4">
        <w:t>(1.56-2.42)</w:t>
      </w:r>
      <w:r w:rsidR="0087046F" w:rsidRPr="009A3DB4">
        <w:t> </w:t>
      </w:r>
      <w:r w:rsidR="004574E9" w:rsidRPr="009A3DB4">
        <w:t>mg/L, 2.59</w:t>
      </w:r>
      <w:r w:rsidR="0087046F" w:rsidRPr="009A3DB4">
        <w:t> </w:t>
      </w:r>
      <w:r w:rsidR="004574E9" w:rsidRPr="009A3DB4">
        <w:t>(1.91-3.50)</w:t>
      </w:r>
      <w:r w:rsidR="0087046F" w:rsidRPr="009A3DB4">
        <w:t> </w:t>
      </w:r>
      <w:r w:rsidR="004574E9" w:rsidRPr="009A3DB4">
        <w:t>mg/L, and 2.92</w:t>
      </w:r>
      <w:r w:rsidR="0087046F" w:rsidRPr="009A3DB4">
        <w:t> </w:t>
      </w:r>
      <w:r w:rsidR="004574E9" w:rsidRPr="009A3DB4">
        <w:t>(1.97-4.19)</w:t>
      </w:r>
      <w:r w:rsidR="0087046F" w:rsidRPr="009A3DB4">
        <w:t> </w:t>
      </w:r>
      <w:r w:rsidR="004574E9" w:rsidRPr="009A3DB4">
        <w:t>mg/L compared to 1.26</w:t>
      </w:r>
      <w:r w:rsidR="0087046F" w:rsidRPr="009A3DB4">
        <w:t> </w:t>
      </w:r>
      <w:r w:rsidR="004574E9" w:rsidRPr="009A3DB4">
        <w:t>(0.97-1.65)</w:t>
      </w:r>
      <w:r w:rsidR="0087046F" w:rsidRPr="009A3DB4">
        <w:t> </w:t>
      </w:r>
      <w:r w:rsidR="004574E9" w:rsidRPr="009A3DB4">
        <w:t>mg/L, 1.90</w:t>
      </w:r>
      <w:r w:rsidR="0087046F" w:rsidRPr="009A3DB4">
        <w:t> </w:t>
      </w:r>
      <w:r w:rsidR="004574E9" w:rsidRPr="009A3DB4">
        <w:t>(1.34-2.56)</w:t>
      </w:r>
      <w:r w:rsidR="0087046F" w:rsidRPr="009A3DB4">
        <w:t> </w:t>
      </w:r>
      <w:r w:rsidR="004574E9" w:rsidRPr="009A3DB4">
        <w:t xml:space="preserve">mg/L, and </w:t>
      </w:r>
      <w:bookmarkStart w:id="1" w:name="_Hlk134022495"/>
      <w:r w:rsidR="004574E9" w:rsidRPr="009A3DB4">
        <w:t>2.13</w:t>
      </w:r>
      <w:r w:rsidR="0087046F" w:rsidRPr="009A3DB4">
        <w:t> </w:t>
      </w:r>
      <w:r w:rsidR="004574E9" w:rsidRPr="009A3DB4">
        <w:t>(1.37-3.13)</w:t>
      </w:r>
      <w:bookmarkEnd w:id="1"/>
      <w:r w:rsidR="0087046F" w:rsidRPr="009A3DB4">
        <w:t> </w:t>
      </w:r>
      <w:r w:rsidR="004574E9" w:rsidRPr="009A3DB4">
        <w:t xml:space="preserve">mg/L, respectively. </w:t>
      </w:r>
      <w:r w:rsidR="0002021E" w:rsidRPr="009A3DB4">
        <w:rPr>
          <w:szCs w:val="21"/>
        </w:rPr>
        <w:t>The percentage of patients with high posaconazole exposure (</w:t>
      </w:r>
      <w:proofErr w:type="spellStart"/>
      <w:r w:rsidR="0002021E" w:rsidRPr="009A3DB4">
        <w:rPr>
          <w:szCs w:val="21"/>
        </w:rPr>
        <w:t>C</w:t>
      </w:r>
      <w:r w:rsidR="0002021E" w:rsidRPr="009A3DB4">
        <w:rPr>
          <w:szCs w:val="21"/>
          <w:vertAlign w:val="subscript"/>
        </w:rPr>
        <w:t>min</w:t>
      </w:r>
      <w:proofErr w:type="spellEnd"/>
      <w:r w:rsidR="0002021E" w:rsidRPr="009A3DB4">
        <w:rPr>
          <w:szCs w:val="21"/>
        </w:rPr>
        <w:t xml:space="preserve"> &gt;3.75</w:t>
      </w:r>
      <w:r w:rsidR="002A33A7" w:rsidRPr="009A3DB4">
        <w:rPr>
          <w:szCs w:val="21"/>
        </w:rPr>
        <w:t> </w:t>
      </w:r>
      <w:r w:rsidR="0002021E" w:rsidRPr="009A3DB4">
        <w:rPr>
          <w:szCs w:val="21"/>
        </w:rPr>
        <w:t>mg/L) while using the</w:t>
      </w:r>
      <w:r w:rsidR="004219DA" w:rsidRPr="009A3DB4">
        <w:rPr>
          <w:szCs w:val="21"/>
        </w:rPr>
        <w:t xml:space="preserve"> optimized</w:t>
      </w:r>
      <w:r w:rsidR="0002021E" w:rsidRPr="009A3DB4">
        <w:rPr>
          <w:szCs w:val="21"/>
        </w:rPr>
        <w:t xml:space="preserve"> dosing regimen was</w:t>
      </w:r>
      <w:r w:rsidR="004219DA" w:rsidRPr="009A3DB4">
        <w:rPr>
          <w:szCs w:val="21"/>
        </w:rPr>
        <w:t xml:space="preserve"> 1.7%, 19.0%, and 30.5% </w:t>
      </w:r>
      <w:r w:rsidR="005A5844" w:rsidRPr="009A3DB4">
        <w:rPr>
          <w:szCs w:val="21"/>
        </w:rPr>
        <w:t>on</w:t>
      </w:r>
      <w:r w:rsidR="0002021E" w:rsidRPr="009A3DB4">
        <w:rPr>
          <w:szCs w:val="21"/>
        </w:rPr>
        <w:t xml:space="preserve"> days 2, 7, and 14, respectively, compared </w:t>
      </w:r>
      <w:r w:rsidR="0002021E" w:rsidRPr="009A3DB4">
        <w:rPr>
          <w:szCs w:val="21"/>
        </w:rPr>
        <w:lastRenderedPageBreak/>
        <w:t xml:space="preserve">to </w:t>
      </w:r>
      <w:r w:rsidR="004219DA" w:rsidRPr="009A3DB4">
        <w:rPr>
          <w:szCs w:val="21"/>
        </w:rPr>
        <w:t xml:space="preserve">0.1%, 4.8%, and 14.5% </w:t>
      </w:r>
      <w:r w:rsidR="0002021E" w:rsidRPr="009A3DB4">
        <w:rPr>
          <w:szCs w:val="21"/>
        </w:rPr>
        <w:t xml:space="preserve">of patients </w:t>
      </w:r>
      <w:r w:rsidR="00061C69">
        <w:rPr>
          <w:szCs w:val="21"/>
        </w:rPr>
        <w:t>on</w:t>
      </w:r>
      <w:r w:rsidR="00061C69" w:rsidRPr="009A3DB4">
        <w:rPr>
          <w:szCs w:val="21"/>
        </w:rPr>
        <w:t xml:space="preserve"> </w:t>
      </w:r>
      <w:r w:rsidR="004219DA" w:rsidRPr="009A3DB4">
        <w:rPr>
          <w:szCs w:val="21"/>
        </w:rPr>
        <w:t>standard</w:t>
      </w:r>
      <w:r w:rsidR="0002021E" w:rsidRPr="009A3DB4">
        <w:rPr>
          <w:szCs w:val="21"/>
        </w:rPr>
        <w:t xml:space="preserve"> dosing. </w:t>
      </w:r>
      <w:r w:rsidR="00061C69">
        <w:t>B</w:t>
      </w:r>
      <w:r w:rsidR="00326BAD" w:rsidRPr="009A3DB4">
        <w:t xml:space="preserve">odyweight </w:t>
      </w:r>
      <w:r w:rsidR="00CD0F2D" w:rsidRPr="009A3DB4">
        <w:t>was confirmed to lose</w:t>
      </w:r>
      <w:r w:rsidR="00326BAD" w:rsidRPr="009A3DB4">
        <w:t xml:space="preserve"> its clinically relevant impact</w:t>
      </w:r>
      <w:r w:rsidR="00061C69">
        <w:t xml:space="preserve"> on end</w:t>
      </w:r>
      <w:r w:rsidR="00ED0326">
        <w:t xml:space="preserve"> </w:t>
      </w:r>
      <w:r w:rsidR="00061C69">
        <w:t>of</w:t>
      </w:r>
      <w:r w:rsidR="00ED0326">
        <w:t xml:space="preserve"> </w:t>
      </w:r>
      <w:r w:rsidR="00061C69">
        <w:t>day</w:t>
      </w:r>
      <w:r w:rsidR="00ED0326">
        <w:t xml:space="preserve"> </w:t>
      </w:r>
      <w:r w:rsidR="00061C69">
        <w:t>2 PTA</w:t>
      </w:r>
      <w:r w:rsidR="00326BAD" w:rsidRPr="009A3DB4">
        <w:t xml:space="preserve"> when </w:t>
      </w:r>
      <w:r w:rsidR="003A143B">
        <w:t>using</w:t>
      </w:r>
      <w:r w:rsidR="003A143B" w:rsidRPr="009A3DB4">
        <w:t xml:space="preserve"> </w:t>
      </w:r>
      <w:r w:rsidR="00326BAD" w:rsidRPr="009A3DB4">
        <w:t xml:space="preserve">the optimized </w:t>
      </w:r>
      <w:r w:rsidR="003A7863" w:rsidRPr="009A3DB4">
        <w:t>instead of the standard dosing regimen</w:t>
      </w:r>
      <w:r w:rsidR="00326BAD" w:rsidRPr="009A3DB4">
        <w:t xml:space="preserve"> (</w:t>
      </w:r>
      <w:r w:rsidR="00326BAD" w:rsidRPr="009A3DB4">
        <w:rPr>
          <w:b/>
          <w:bCs/>
        </w:rPr>
        <w:t>Figure</w:t>
      </w:r>
      <w:r w:rsidR="0087046F" w:rsidRPr="009A3DB4">
        <w:rPr>
          <w:b/>
          <w:bCs/>
        </w:rPr>
        <w:t> </w:t>
      </w:r>
      <w:r w:rsidR="004F1873">
        <w:rPr>
          <w:b/>
          <w:bCs/>
        </w:rPr>
        <w:t>2</w:t>
      </w:r>
      <w:r w:rsidR="00326BAD" w:rsidRPr="009A3DB4">
        <w:rPr>
          <w:b/>
          <w:bCs/>
        </w:rPr>
        <w:t>B</w:t>
      </w:r>
      <w:r w:rsidR="00326BAD" w:rsidRPr="009A3DB4">
        <w:t>).</w:t>
      </w:r>
      <w:r w:rsidR="009B32C8" w:rsidRPr="009A3DB4">
        <w:rPr>
          <w:b/>
          <w:sz w:val="36"/>
        </w:rPr>
        <w:br w:type="page"/>
      </w:r>
    </w:p>
    <w:p w14:paraId="60731D67" w14:textId="2A2E9D50" w:rsidR="00FC749C" w:rsidRPr="009A3DB4" w:rsidRDefault="00FC749C" w:rsidP="00F14F49">
      <w:pPr>
        <w:pStyle w:val="Heading1"/>
        <w:numPr>
          <w:ilvl w:val="0"/>
          <w:numId w:val="19"/>
        </w:numPr>
      </w:pPr>
      <w:r w:rsidRPr="009A3DB4">
        <w:lastRenderedPageBreak/>
        <w:t>Discussion</w:t>
      </w:r>
    </w:p>
    <w:p w14:paraId="0A72BD05" w14:textId="4CFF85C2" w:rsidR="007B52F9" w:rsidRPr="009A3DB4" w:rsidRDefault="00CF6401" w:rsidP="00C03D85">
      <w:pPr>
        <w:spacing w:line="480" w:lineRule="auto"/>
        <w:jc w:val="both"/>
        <w:rPr>
          <w:rFonts w:cstheme="minorHAnsi"/>
        </w:rPr>
      </w:pPr>
      <w:r w:rsidRPr="009A3DB4">
        <w:rPr>
          <w:rFonts w:cstheme="minorHAnsi"/>
        </w:rPr>
        <w:t xml:space="preserve">By using data from the POSA-FLU </w:t>
      </w:r>
      <w:r w:rsidR="009F29D2">
        <w:rPr>
          <w:rFonts w:cstheme="minorHAnsi"/>
        </w:rPr>
        <w:t>trial</w:t>
      </w:r>
      <w:r w:rsidRPr="009A3DB4">
        <w:rPr>
          <w:rFonts w:cstheme="minorHAnsi"/>
        </w:rPr>
        <w:t xml:space="preserve">, we </w:t>
      </w:r>
      <w:r w:rsidR="00FD4746">
        <w:rPr>
          <w:rFonts w:cstheme="minorHAnsi"/>
        </w:rPr>
        <w:t>studied the</w:t>
      </w:r>
      <w:r w:rsidRPr="009A3DB4">
        <w:rPr>
          <w:rFonts w:cstheme="minorHAnsi"/>
        </w:rPr>
        <w:t xml:space="preserve"> popPK </w:t>
      </w:r>
      <w:r w:rsidR="00FD4746">
        <w:rPr>
          <w:rFonts w:cstheme="minorHAnsi"/>
        </w:rPr>
        <w:t>of posaconazole</w:t>
      </w:r>
      <w:r w:rsidR="00FD4746" w:rsidRPr="009A3DB4">
        <w:rPr>
          <w:rFonts w:cstheme="minorHAnsi"/>
        </w:rPr>
        <w:t xml:space="preserve"> </w:t>
      </w:r>
      <w:r w:rsidRPr="009A3DB4">
        <w:rPr>
          <w:rFonts w:cstheme="minorHAnsi"/>
        </w:rPr>
        <w:t>in critically ill patients</w:t>
      </w:r>
      <w:r w:rsidR="00FD4746">
        <w:rPr>
          <w:rFonts w:cstheme="minorHAnsi"/>
        </w:rPr>
        <w:t xml:space="preserve">, </w:t>
      </w:r>
      <w:r w:rsidR="00FD4746" w:rsidRPr="009A3DB4">
        <w:rPr>
          <w:rFonts w:cstheme="minorHAnsi"/>
        </w:rPr>
        <w:t>a population for which PK data are scarce</w:t>
      </w:r>
      <w:r w:rsidRPr="009A3DB4">
        <w:rPr>
          <w:rFonts w:cstheme="minorHAnsi"/>
        </w:rPr>
        <w:t xml:space="preserve">. Our </w:t>
      </w:r>
      <w:r w:rsidR="007C3206" w:rsidRPr="009A3DB4">
        <w:rPr>
          <w:rFonts w:cstheme="minorHAnsi"/>
        </w:rPr>
        <w:t xml:space="preserve">modeling </w:t>
      </w:r>
      <w:r w:rsidRPr="009A3DB4">
        <w:rPr>
          <w:rFonts w:cstheme="minorHAnsi"/>
        </w:rPr>
        <w:t xml:space="preserve">and simulation results showed that the standard IV dosing regimen resulted </w:t>
      </w:r>
      <w:r w:rsidRPr="009A3DB4">
        <w:rPr>
          <w:szCs w:val="21"/>
        </w:rPr>
        <w:t xml:space="preserve">in clinically </w:t>
      </w:r>
      <w:r w:rsidR="00DF1A24" w:rsidRPr="009A3DB4">
        <w:rPr>
          <w:szCs w:val="21"/>
        </w:rPr>
        <w:t>u</w:t>
      </w:r>
      <w:r w:rsidRPr="009A3DB4">
        <w:rPr>
          <w:szCs w:val="21"/>
        </w:rPr>
        <w:t>nacceptable</w:t>
      </w:r>
      <w:r w:rsidRPr="009A3DB4">
        <w:rPr>
          <w:rFonts w:cstheme="minorHAnsi"/>
        </w:rPr>
        <w:t xml:space="preserve"> </w:t>
      </w:r>
      <w:proofErr w:type="spellStart"/>
      <w:r w:rsidRPr="009A3DB4">
        <w:rPr>
          <w:rFonts w:cstheme="minorHAnsi"/>
        </w:rPr>
        <w:t>C</w:t>
      </w:r>
      <w:r w:rsidRPr="009A3DB4">
        <w:rPr>
          <w:rFonts w:cstheme="minorHAnsi"/>
          <w:vertAlign w:val="subscript"/>
        </w:rPr>
        <w:t>min</w:t>
      </w:r>
      <w:proofErr w:type="spellEnd"/>
      <w:r w:rsidRPr="009A3DB4">
        <w:rPr>
          <w:rFonts w:cstheme="minorHAnsi"/>
        </w:rPr>
        <w:t xml:space="preserve"> target attainment in </w:t>
      </w:r>
      <w:r w:rsidR="00512ED8" w:rsidRPr="009A3DB4">
        <w:rPr>
          <w:rFonts w:cstheme="minorHAnsi"/>
        </w:rPr>
        <w:t xml:space="preserve">when used in </w:t>
      </w:r>
      <w:r w:rsidR="005A5844" w:rsidRPr="009A3DB4">
        <w:rPr>
          <w:rFonts w:cstheme="minorHAnsi"/>
        </w:rPr>
        <w:t xml:space="preserve">a </w:t>
      </w:r>
      <w:r w:rsidR="00512ED8" w:rsidRPr="009A3DB4">
        <w:rPr>
          <w:rFonts w:cstheme="minorHAnsi"/>
        </w:rPr>
        <w:t>treatment setting</w:t>
      </w:r>
      <w:r w:rsidRPr="009A3DB4">
        <w:rPr>
          <w:rFonts w:cstheme="minorHAnsi"/>
        </w:rPr>
        <w:t xml:space="preserve">. </w:t>
      </w:r>
      <w:r w:rsidR="007C3206" w:rsidRPr="009A3DB4">
        <w:rPr>
          <w:rFonts w:cstheme="minorHAnsi"/>
        </w:rPr>
        <w:t>We proposed a</w:t>
      </w:r>
      <w:r w:rsidRPr="009A3DB4">
        <w:rPr>
          <w:rFonts w:cstheme="minorHAnsi"/>
        </w:rPr>
        <w:t xml:space="preserve"> pragmatic</w:t>
      </w:r>
      <w:r w:rsidR="007C3206" w:rsidRPr="009A3DB4">
        <w:rPr>
          <w:rFonts w:cstheme="minorHAnsi"/>
        </w:rPr>
        <w:t xml:space="preserve"> and</w:t>
      </w:r>
      <w:r w:rsidRPr="009A3DB4">
        <w:rPr>
          <w:rFonts w:cstheme="minorHAnsi"/>
        </w:rPr>
        <w:t xml:space="preserve"> easy</w:t>
      </w:r>
      <w:r w:rsidR="005A5844" w:rsidRPr="009A3DB4">
        <w:rPr>
          <w:rFonts w:cstheme="minorHAnsi"/>
        </w:rPr>
        <w:t>-</w:t>
      </w:r>
      <w:r w:rsidRPr="009A3DB4">
        <w:rPr>
          <w:rFonts w:cstheme="minorHAnsi"/>
        </w:rPr>
        <w:t>to</w:t>
      </w:r>
      <w:r w:rsidR="005A5844" w:rsidRPr="009A3DB4">
        <w:rPr>
          <w:rFonts w:cstheme="minorHAnsi"/>
        </w:rPr>
        <w:t>-</w:t>
      </w:r>
      <w:r w:rsidRPr="009A3DB4">
        <w:rPr>
          <w:rFonts w:cstheme="minorHAnsi"/>
        </w:rPr>
        <w:t>implement optimized dosing regimen leading to &gt;90% PTA from day two of treatment and throughout a two-week treatment course</w:t>
      </w:r>
      <w:r w:rsidR="004922D1" w:rsidRPr="009A3DB4">
        <w:rPr>
          <w:rFonts w:cstheme="minorHAnsi"/>
        </w:rPr>
        <w:t>.</w:t>
      </w:r>
    </w:p>
    <w:p w14:paraId="0DDF5905" w14:textId="711E7938" w:rsidR="000D6820" w:rsidRPr="009A3DB4" w:rsidRDefault="00DF1A24" w:rsidP="000D6820">
      <w:pPr>
        <w:spacing w:line="480" w:lineRule="auto"/>
        <w:jc w:val="both"/>
        <w:rPr>
          <w:rFonts w:cstheme="minorHAnsi"/>
        </w:rPr>
      </w:pPr>
      <w:r w:rsidRPr="009A3DB4">
        <w:rPr>
          <w:rFonts w:cstheme="minorHAnsi"/>
        </w:rPr>
        <w:t>Unlike the standard dosing regimen, which is characterized by poor target attainment, t</w:t>
      </w:r>
      <w:r w:rsidR="000D6820" w:rsidRPr="009A3DB4">
        <w:rPr>
          <w:rFonts w:cstheme="minorHAnsi"/>
        </w:rPr>
        <w:t xml:space="preserve">he optimized dosing regimen </w:t>
      </w:r>
      <w:r w:rsidR="008B5000">
        <w:rPr>
          <w:rFonts w:cstheme="minorHAnsi"/>
        </w:rPr>
        <w:t>would no longer require</w:t>
      </w:r>
      <w:r w:rsidR="00E9345F" w:rsidRPr="009A3DB4">
        <w:rPr>
          <w:rFonts w:cstheme="minorHAnsi"/>
        </w:rPr>
        <w:t xml:space="preserve"> TDM </w:t>
      </w:r>
      <w:r w:rsidR="00D85AEE" w:rsidRPr="009A3DB4">
        <w:rPr>
          <w:rFonts w:cstheme="minorHAnsi"/>
        </w:rPr>
        <w:t xml:space="preserve">to guarantee </w:t>
      </w:r>
      <w:r w:rsidR="008B5000">
        <w:rPr>
          <w:rFonts w:cstheme="minorHAnsi"/>
        </w:rPr>
        <w:t xml:space="preserve">target </w:t>
      </w:r>
      <w:proofErr w:type="gramStart"/>
      <w:r w:rsidR="008B5000">
        <w:rPr>
          <w:rFonts w:cstheme="minorHAnsi"/>
        </w:rPr>
        <w:t>attainment</w:t>
      </w:r>
      <w:r w:rsidR="008B5000" w:rsidRPr="009A3DB4">
        <w:rPr>
          <w:rFonts w:cstheme="minorHAnsi"/>
        </w:rPr>
        <w:t xml:space="preserve"> </w:t>
      </w:r>
      <w:r w:rsidR="000D6820" w:rsidRPr="009A3DB4">
        <w:rPr>
          <w:rFonts w:cstheme="minorHAnsi"/>
        </w:rPr>
        <w:t>.</w:t>
      </w:r>
      <w:proofErr w:type="gramEnd"/>
      <w:r w:rsidR="000D6820" w:rsidRPr="009A3DB4">
        <w:rPr>
          <w:rFonts w:cstheme="minorHAnsi"/>
        </w:rPr>
        <w:t xml:space="preserve"> TDM of posaconazole is often applied, especially when it is used in the treatment setting and when it is used in special patient populations such as critically ill patients or obese patients. The primary objective of TDM </w:t>
      </w:r>
      <w:r w:rsidR="008B5000">
        <w:rPr>
          <w:rFonts w:cstheme="minorHAnsi"/>
        </w:rPr>
        <w:t>of</w:t>
      </w:r>
      <w:r w:rsidR="008B5000" w:rsidRPr="009A3DB4">
        <w:rPr>
          <w:rFonts w:cstheme="minorHAnsi"/>
        </w:rPr>
        <w:t xml:space="preserve"> </w:t>
      </w:r>
      <w:r w:rsidR="000D6820" w:rsidRPr="009A3DB4">
        <w:rPr>
          <w:rFonts w:cstheme="minorHAnsi"/>
        </w:rPr>
        <w:t xml:space="preserve">posaconazole is to verify exposure to warrant efficacy. However, </w:t>
      </w:r>
      <w:r w:rsidR="007C3206" w:rsidRPr="009A3DB4">
        <w:rPr>
          <w:rFonts w:cstheme="minorHAnsi"/>
        </w:rPr>
        <w:t xml:space="preserve">posaconazole </w:t>
      </w:r>
      <w:r w:rsidR="00BA2ADB" w:rsidRPr="009A3DB4">
        <w:rPr>
          <w:rFonts w:cstheme="minorHAnsi"/>
        </w:rPr>
        <w:t>bioassays</w:t>
      </w:r>
      <w:r w:rsidR="000D6820" w:rsidRPr="009A3DB4">
        <w:rPr>
          <w:rFonts w:cstheme="minorHAnsi"/>
        </w:rPr>
        <w:t xml:space="preserve"> are not available in every </w:t>
      </w:r>
      <w:r w:rsidR="007C3206" w:rsidRPr="009A3DB4">
        <w:rPr>
          <w:rFonts w:cstheme="minorHAnsi"/>
        </w:rPr>
        <w:t xml:space="preserve">clinical </w:t>
      </w:r>
      <w:r w:rsidR="000D6820" w:rsidRPr="009A3DB4">
        <w:rPr>
          <w:rFonts w:cstheme="minorHAnsi"/>
        </w:rPr>
        <w:t>center, especially not in limited resource settings. In centers where it is available, turnaround times are not always ideal, and TDM is</w:t>
      </w:r>
      <w:r w:rsidR="00F66DA5" w:rsidRPr="009A3DB4">
        <w:rPr>
          <w:rFonts w:cstheme="minorHAnsi"/>
        </w:rPr>
        <w:t xml:space="preserve"> </w:t>
      </w:r>
      <w:r w:rsidR="000D6820" w:rsidRPr="009A3DB4">
        <w:rPr>
          <w:rFonts w:cstheme="minorHAnsi"/>
        </w:rPr>
        <w:t xml:space="preserve">also associated with a cost. </w:t>
      </w:r>
      <w:r w:rsidR="0002021E" w:rsidRPr="009A3DB4">
        <w:rPr>
          <w:rFonts w:cstheme="minorHAnsi"/>
        </w:rPr>
        <w:t>T</w:t>
      </w:r>
      <w:r w:rsidR="000D6820" w:rsidRPr="009A3DB4">
        <w:rPr>
          <w:rFonts w:cstheme="minorHAnsi"/>
        </w:rPr>
        <w:t xml:space="preserve">herefore, </w:t>
      </w:r>
      <w:r w:rsidR="007C3206" w:rsidRPr="009A3DB4">
        <w:rPr>
          <w:rFonts w:cstheme="minorHAnsi"/>
        </w:rPr>
        <w:t>we propose a</w:t>
      </w:r>
      <w:r w:rsidR="00871FE5">
        <w:rPr>
          <w:rFonts w:cstheme="minorHAnsi"/>
        </w:rPr>
        <w:t>n easy-to-implement</w:t>
      </w:r>
      <w:r w:rsidR="009A3DB4" w:rsidRPr="009A3DB4">
        <w:rPr>
          <w:rFonts w:cstheme="minorHAnsi"/>
        </w:rPr>
        <w:t xml:space="preserve"> weight-based stratified</w:t>
      </w:r>
      <w:r w:rsidR="007C3206" w:rsidRPr="009A3DB4">
        <w:rPr>
          <w:rFonts w:cstheme="minorHAnsi"/>
        </w:rPr>
        <w:t xml:space="preserve"> loading</w:t>
      </w:r>
      <w:r w:rsidR="000D6820" w:rsidRPr="009A3DB4">
        <w:rPr>
          <w:rFonts w:cstheme="minorHAnsi"/>
        </w:rPr>
        <w:t xml:space="preserve"> dos</w:t>
      </w:r>
      <w:r w:rsidR="007C3206" w:rsidRPr="009A3DB4">
        <w:rPr>
          <w:rFonts w:cstheme="minorHAnsi"/>
        </w:rPr>
        <w:t xml:space="preserve">e and </w:t>
      </w:r>
      <w:r w:rsidR="009A3DB4" w:rsidRPr="009A3DB4">
        <w:rPr>
          <w:rFonts w:cstheme="minorHAnsi"/>
        </w:rPr>
        <w:t>flat</w:t>
      </w:r>
      <w:r w:rsidR="007C3206" w:rsidRPr="009A3DB4">
        <w:rPr>
          <w:rFonts w:cstheme="minorHAnsi"/>
        </w:rPr>
        <w:t xml:space="preserve"> maintenance dose,</w:t>
      </w:r>
      <w:r w:rsidR="000D6820" w:rsidRPr="009A3DB4">
        <w:rPr>
          <w:rFonts w:cstheme="minorHAnsi"/>
        </w:rPr>
        <w:t xml:space="preserve"> lead</w:t>
      </w:r>
      <w:r w:rsidR="007C3206" w:rsidRPr="009A3DB4">
        <w:rPr>
          <w:rFonts w:cstheme="minorHAnsi"/>
        </w:rPr>
        <w:t>ing</w:t>
      </w:r>
      <w:r w:rsidR="000D6820" w:rsidRPr="009A3DB4">
        <w:rPr>
          <w:rFonts w:cstheme="minorHAnsi"/>
        </w:rPr>
        <w:t xml:space="preserve"> to &gt;90% PTA from day</w:t>
      </w:r>
      <w:r w:rsidR="007C3206" w:rsidRPr="009A3DB4">
        <w:rPr>
          <w:rFonts w:cstheme="minorHAnsi"/>
        </w:rPr>
        <w:t> </w:t>
      </w:r>
      <w:r w:rsidR="000D6820" w:rsidRPr="009A3DB4">
        <w:rPr>
          <w:rFonts w:cstheme="minorHAnsi"/>
        </w:rPr>
        <w:t xml:space="preserve">2 </w:t>
      </w:r>
      <w:r w:rsidR="007C3206" w:rsidRPr="009A3DB4">
        <w:rPr>
          <w:rFonts w:cstheme="minorHAnsi"/>
        </w:rPr>
        <w:t xml:space="preserve">onwards, </w:t>
      </w:r>
      <w:r w:rsidR="00B35D90" w:rsidRPr="009A3DB4">
        <w:rPr>
          <w:rFonts w:cstheme="minorHAnsi"/>
        </w:rPr>
        <w:t>making TDM no longer necessary</w:t>
      </w:r>
      <w:r w:rsidR="000D6820" w:rsidRPr="009A3DB4">
        <w:rPr>
          <w:rFonts w:cstheme="minorHAnsi"/>
        </w:rPr>
        <w:t>.</w:t>
      </w:r>
    </w:p>
    <w:p w14:paraId="1F3A8B8D" w14:textId="7C937645" w:rsidR="00B35D90" w:rsidRPr="009A3DB4" w:rsidRDefault="00B35D90" w:rsidP="00B35D90">
      <w:pPr>
        <w:spacing w:line="480" w:lineRule="auto"/>
        <w:jc w:val="both"/>
        <w:rPr>
          <w:rFonts w:cstheme="minorHAnsi"/>
          <w:color w:val="212121"/>
          <w:shd w:val="clear" w:color="auto" w:fill="FFFFFF"/>
        </w:rPr>
      </w:pPr>
      <w:r w:rsidRPr="009A3DB4">
        <w:rPr>
          <w:rFonts w:cstheme="minorHAnsi"/>
          <w:color w:val="212121"/>
          <w:shd w:val="clear" w:color="auto" w:fill="FFFFFF"/>
        </w:rPr>
        <w:t xml:space="preserve">For critically ill patients suffering from IPA, it is imperative to achieve the treatment target as quickly as possible to improve patient outcomes </w:t>
      </w:r>
      <w:r w:rsidRPr="009A3DB4">
        <w:rPr>
          <w:rFonts w:cstheme="minorHAnsi"/>
          <w:color w:val="212121"/>
          <w:shd w:val="clear" w:color="auto" w:fill="FFFFFF"/>
        </w:rPr>
        <w:fldChar w:fldCharType="begin"/>
      </w:r>
      <w:r w:rsidR="00C6202C">
        <w:rPr>
          <w:rFonts w:cstheme="minorHAnsi"/>
          <w:color w:val="212121"/>
          <w:shd w:val="clear" w:color="auto" w:fill="FFFFFF"/>
        </w:rPr>
        <w:instrText xml:space="preserve"> ADDIN ZOTERO_ITEM CSL_CITATION {"citationID":"Ocz6bRuC","properties":{"formattedCitation":"[12]","plainCitation":"[12]","noteIndex":0},"citationItems":[{"id":12923,"uris":["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http://zotero.org/users/7911495/items/UZVZ7QBY"]]]]],"itemData":{"id":12923,"type":"article-journal","abstract":"Purpose of review \n        Antimicrobials are very commonly used drugs in the intensive care setting. Extensive research has been conducted in recent years to describe their pharmacokinetics/pharmacodynamics in order to maximize the pharmacological benefit and patient outcome. Translating these new findings into clinical practice is encouraged.\n        Recent findings \n        This article will discuss mechanistic data on factors causing changes in antimicrobial pharmacokinetics in critically ill patients, such as the phenomena of augmented renal clearance as well as the effects of hypoalbuminemia, renal replacement therapy, and extracorporeal membrane oxygenation. Failure to achieve clinical cure has been correlated with pharmacokinetics/pharmacodynamics target nonattainment, and a recent meta-analysis suggests an association between dosing strategies aimed at optimizing antimicrobial pharmacokinetics/pharmacodynamics with improvement in clinical cure and survival. Novel dosing strategies including therapeutic drug monitoring are also now being tested to address challenges in the optimization of antimicrobial pharmacokinetics/pharmacodynamics.\n        Summary \n        Optimization of antimicrobial dosing in accordance with pharmacokinetics/pharmacodynamics targets can improve survival and clinical cure. Dosing regimens for critically ill patients should aim for pharmacokinetics/pharmacodynamics target attainment by utilizing altered dosing strategies including adaptive feedback using therapeutic drug monitoring.","container-title":"Current Opinion in Critical Care","DOI":"10.1097/MCC.0000000000000229","ISSN":"1070-5295","issue":"5","language":"en-US","page":"412","source":"journals.lww.com","title":"Pharmacokinetic/pharmacodynamic considerations for the optimization of antimicrobial delivery in the critically ill","volume":"21","author":[{"family":"Tsai","given":"Danny"},{"family":"Lipman","given":"Jeffrey"},{"family":"Roberts","given":"Jason A."}],"issued":{"date-parts":[["2015",10]]}}}],"schema":"https://github.com/citation-style-language/schema/raw/master/csl-citation.json"} </w:instrText>
      </w:r>
      <w:r w:rsidRPr="009A3DB4">
        <w:rPr>
          <w:rFonts w:cstheme="minorHAnsi"/>
          <w:color w:val="212121"/>
          <w:shd w:val="clear" w:color="auto" w:fill="FFFFFF"/>
        </w:rPr>
        <w:fldChar w:fldCharType="separate"/>
      </w:r>
      <w:r w:rsidR="00C6202C">
        <w:rPr>
          <w:rFonts w:ascii="Calibri" w:hAnsi="Calibri" w:cs="Calibri"/>
        </w:rPr>
        <w:t>[12]</w:t>
      </w:r>
      <w:r w:rsidRPr="009A3DB4">
        <w:rPr>
          <w:rFonts w:cstheme="minorHAnsi"/>
          <w:color w:val="212121"/>
          <w:shd w:val="clear" w:color="auto" w:fill="FFFFFF"/>
        </w:rPr>
        <w:fldChar w:fldCharType="end"/>
      </w:r>
      <w:r w:rsidRPr="009A3DB4">
        <w:rPr>
          <w:rFonts w:cstheme="minorHAnsi"/>
          <w:color w:val="212121"/>
          <w:shd w:val="clear" w:color="auto" w:fill="FFFFFF"/>
        </w:rPr>
        <w:t xml:space="preserve">. Our simulations demonstrated that the </w:t>
      </w:r>
      <w:r w:rsidR="00871FE5">
        <w:rPr>
          <w:rFonts w:cstheme="minorHAnsi"/>
          <w:color w:val="212121"/>
          <w:shd w:val="clear" w:color="auto" w:fill="FFFFFF"/>
        </w:rPr>
        <w:t>standard one-day</w:t>
      </w:r>
      <w:r w:rsidRPr="009A3DB4">
        <w:rPr>
          <w:rFonts w:cstheme="minorHAnsi"/>
          <w:color w:val="212121"/>
          <w:shd w:val="clear" w:color="auto" w:fill="FFFFFF"/>
        </w:rPr>
        <w:t xml:space="preserve"> loading </w:t>
      </w:r>
      <w:r w:rsidR="00871FE5">
        <w:rPr>
          <w:rFonts w:cstheme="minorHAnsi"/>
          <w:color w:val="212121"/>
          <w:shd w:val="clear" w:color="auto" w:fill="FFFFFF"/>
        </w:rPr>
        <w:t>regimen</w:t>
      </w:r>
      <w:r w:rsidR="00871FE5" w:rsidRPr="009A3DB4">
        <w:rPr>
          <w:rFonts w:cstheme="minorHAnsi"/>
          <w:color w:val="212121"/>
          <w:shd w:val="clear" w:color="auto" w:fill="FFFFFF"/>
        </w:rPr>
        <w:t xml:space="preserve"> </w:t>
      </w:r>
      <w:r w:rsidRPr="009A3DB4">
        <w:rPr>
          <w:rFonts w:cstheme="minorHAnsi"/>
          <w:color w:val="212121"/>
          <w:shd w:val="clear" w:color="auto" w:fill="FFFFFF"/>
        </w:rPr>
        <w:t>of IV posaconazole fails to achieve</w:t>
      </w:r>
      <w:r w:rsidRPr="009A3DB4">
        <w:rPr>
          <w:rFonts w:cstheme="minorHAnsi"/>
        </w:rPr>
        <w:t xml:space="preserve"> </w:t>
      </w:r>
      <w:r w:rsidRPr="009A3DB4">
        <w:rPr>
          <w:szCs w:val="21"/>
        </w:rPr>
        <w:t>clinically acceptable</w:t>
      </w:r>
      <w:r w:rsidRPr="009A3DB4">
        <w:rPr>
          <w:rFonts w:cstheme="minorHAnsi"/>
          <w:color w:val="212121"/>
          <w:shd w:val="clear" w:color="auto" w:fill="FFFFFF"/>
        </w:rPr>
        <w:t xml:space="preserve"> PTA in the early days of treatment</w:t>
      </w:r>
      <w:r w:rsidR="0079175E" w:rsidRPr="009A3DB4">
        <w:rPr>
          <w:rFonts w:cstheme="minorHAnsi"/>
          <w:color w:val="212121"/>
          <w:shd w:val="clear" w:color="auto" w:fill="FFFFFF"/>
        </w:rPr>
        <w:t xml:space="preserve"> and that bodyweight should be considered in loading dose optimization</w:t>
      </w:r>
      <w:r w:rsidRPr="009A3DB4">
        <w:rPr>
          <w:rFonts w:cstheme="minorHAnsi"/>
          <w:color w:val="212121"/>
          <w:shd w:val="clear" w:color="auto" w:fill="FFFFFF"/>
        </w:rPr>
        <w:t xml:space="preserve">. </w:t>
      </w:r>
      <w:r w:rsidR="0079175E" w:rsidRPr="009A3DB4">
        <w:rPr>
          <w:rFonts w:cstheme="minorHAnsi"/>
          <w:color w:val="212121"/>
          <w:shd w:val="clear" w:color="auto" w:fill="FFFFFF"/>
        </w:rPr>
        <w:t>Early target attainment is ensured with</w:t>
      </w:r>
      <w:r w:rsidRPr="009A3DB4">
        <w:rPr>
          <w:rFonts w:cstheme="minorHAnsi"/>
          <w:color w:val="212121"/>
          <w:shd w:val="clear" w:color="auto" w:fill="FFFFFF"/>
        </w:rPr>
        <w:t xml:space="preserve"> </w:t>
      </w:r>
      <w:proofErr w:type="gramStart"/>
      <w:r w:rsidRPr="009A3DB4">
        <w:rPr>
          <w:rFonts w:cstheme="minorHAnsi"/>
          <w:color w:val="212121"/>
          <w:shd w:val="clear" w:color="auto" w:fill="FFFFFF"/>
        </w:rPr>
        <w:t>an</w:t>
      </w:r>
      <w:proofErr w:type="gramEnd"/>
      <w:r w:rsidRPr="009A3DB4">
        <w:rPr>
          <w:rFonts w:cstheme="minorHAnsi"/>
          <w:color w:val="212121"/>
          <w:shd w:val="clear" w:color="auto" w:fill="FFFFFF"/>
        </w:rPr>
        <w:t xml:space="preserve"> </w:t>
      </w:r>
      <w:r w:rsidR="009B5802">
        <w:rPr>
          <w:rFonts w:cstheme="minorHAnsi"/>
          <w:color w:val="212121"/>
          <w:shd w:val="clear" w:color="auto" w:fill="FFFFFF"/>
        </w:rPr>
        <w:t>two-day</w:t>
      </w:r>
      <w:r w:rsidR="009B5802" w:rsidRPr="009A3DB4">
        <w:rPr>
          <w:rFonts w:cstheme="minorHAnsi"/>
          <w:color w:val="212121"/>
          <w:shd w:val="clear" w:color="auto" w:fill="FFFFFF"/>
        </w:rPr>
        <w:t xml:space="preserve"> </w:t>
      </w:r>
      <w:r w:rsidRPr="009A3DB4">
        <w:rPr>
          <w:rFonts w:cstheme="minorHAnsi"/>
          <w:color w:val="212121"/>
          <w:shd w:val="clear" w:color="auto" w:fill="FFFFFF"/>
        </w:rPr>
        <w:t xml:space="preserve">loading </w:t>
      </w:r>
      <w:r w:rsidR="009B5802">
        <w:rPr>
          <w:rFonts w:cstheme="minorHAnsi"/>
          <w:color w:val="212121"/>
          <w:shd w:val="clear" w:color="auto" w:fill="FFFFFF"/>
        </w:rPr>
        <w:t>regimen</w:t>
      </w:r>
      <w:r w:rsidR="009B5802" w:rsidRPr="009A3DB4">
        <w:rPr>
          <w:rFonts w:cstheme="minorHAnsi"/>
          <w:color w:val="212121"/>
          <w:shd w:val="clear" w:color="auto" w:fill="FFFFFF"/>
        </w:rPr>
        <w:t xml:space="preserve"> </w:t>
      </w:r>
      <w:r w:rsidRPr="009A3DB4">
        <w:rPr>
          <w:rFonts w:cstheme="minorHAnsi"/>
          <w:color w:val="212121"/>
          <w:shd w:val="clear" w:color="auto" w:fill="FFFFFF"/>
        </w:rPr>
        <w:t>of 300</w:t>
      </w:r>
      <w:r w:rsidR="005A5844" w:rsidRPr="009A3DB4">
        <w:rPr>
          <w:rFonts w:cstheme="minorHAnsi"/>
          <w:color w:val="212121"/>
          <w:shd w:val="clear" w:color="auto" w:fill="FFFFFF"/>
        </w:rPr>
        <w:t> </w:t>
      </w:r>
      <w:r w:rsidRPr="009A3DB4">
        <w:rPr>
          <w:rFonts w:cstheme="minorHAnsi"/>
          <w:color w:val="212121"/>
          <w:shd w:val="clear" w:color="auto" w:fill="FFFFFF"/>
        </w:rPr>
        <w:t xml:space="preserve">mg </w:t>
      </w:r>
      <w:r w:rsidR="00385E3A" w:rsidRPr="009A3DB4">
        <w:rPr>
          <w:rFonts w:cstheme="minorHAnsi"/>
          <w:color w:val="212121"/>
          <w:shd w:val="clear" w:color="auto" w:fill="FFFFFF"/>
        </w:rPr>
        <w:t>q12h</w:t>
      </w:r>
      <w:r w:rsidRPr="009A3DB4">
        <w:rPr>
          <w:rFonts w:cstheme="minorHAnsi"/>
          <w:color w:val="212121"/>
          <w:shd w:val="clear" w:color="auto" w:fill="FFFFFF"/>
        </w:rPr>
        <w:t xml:space="preserve"> and 300</w:t>
      </w:r>
      <w:r w:rsidR="005A5844" w:rsidRPr="009A3DB4">
        <w:rPr>
          <w:rFonts w:cstheme="minorHAnsi"/>
          <w:color w:val="212121"/>
          <w:shd w:val="clear" w:color="auto" w:fill="FFFFFF"/>
        </w:rPr>
        <w:t> </w:t>
      </w:r>
      <w:r w:rsidRPr="009A3DB4">
        <w:rPr>
          <w:rFonts w:cstheme="minorHAnsi"/>
          <w:color w:val="212121"/>
          <w:shd w:val="clear" w:color="auto" w:fill="FFFFFF"/>
        </w:rPr>
        <w:t xml:space="preserve">mg </w:t>
      </w:r>
      <w:r w:rsidR="00385E3A" w:rsidRPr="009A3DB4">
        <w:rPr>
          <w:rFonts w:cstheme="minorHAnsi"/>
          <w:color w:val="212121"/>
          <w:shd w:val="clear" w:color="auto" w:fill="FFFFFF"/>
        </w:rPr>
        <w:t>q8h</w:t>
      </w:r>
      <w:r w:rsidRPr="009A3DB4">
        <w:rPr>
          <w:rFonts w:cstheme="minorHAnsi"/>
          <w:color w:val="212121"/>
          <w:shd w:val="clear" w:color="auto" w:fill="FFFFFF"/>
        </w:rPr>
        <w:t xml:space="preserve"> for patients &lt;100</w:t>
      </w:r>
      <w:r w:rsidR="005A5844" w:rsidRPr="009A3DB4">
        <w:rPr>
          <w:rFonts w:cstheme="minorHAnsi"/>
          <w:color w:val="212121"/>
          <w:shd w:val="clear" w:color="auto" w:fill="FFFFFF"/>
        </w:rPr>
        <w:t> </w:t>
      </w:r>
      <w:r w:rsidRPr="009A3DB4">
        <w:rPr>
          <w:rFonts w:cstheme="minorHAnsi"/>
          <w:color w:val="212121"/>
          <w:shd w:val="clear" w:color="auto" w:fill="FFFFFF"/>
        </w:rPr>
        <w:t>kg and ≥100</w:t>
      </w:r>
      <w:r w:rsidR="005A5844" w:rsidRPr="009A3DB4">
        <w:rPr>
          <w:rFonts w:cstheme="minorHAnsi"/>
          <w:color w:val="212121"/>
          <w:shd w:val="clear" w:color="auto" w:fill="FFFFFF"/>
        </w:rPr>
        <w:t> </w:t>
      </w:r>
      <w:r w:rsidRPr="009A3DB4">
        <w:rPr>
          <w:rFonts w:cstheme="minorHAnsi"/>
          <w:color w:val="212121"/>
          <w:shd w:val="clear" w:color="auto" w:fill="FFFFFF"/>
        </w:rPr>
        <w:t xml:space="preserve">kg, respectively. </w:t>
      </w:r>
      <w:r w:rsidR="009B5802">
        <w:rPr>
          <w:rFonts w:cstheme="minorHAnsi"/>
          <w:color w:val="212121"/>
          <w:shd w:val="clear" w:color="auto" w:fill="FFFFFF"/>
        </w:rPr>
        <w:t>The</w:t>
      </w:r>
      <w:r w:rsidR="0079175E" w:rsidRPr="009A3DB4">
        <w:rPr>
          <w:rFonts w:cstheme="minorHAnsi"/>
          <w:color w:val="212121"/>
          <w:shd w:val="clear" w:color="auto" w:fill="FFFFFF"/>
        </w:rPr>
        <w:t xml:space="preserve"> standard </w:t>
      </w:r>
      <w:r w:rsidR="009B5802">
        <w:rPr>
          <w:rFonts w:cstheme="minorHAnsi"/>
          <w:color w:val="212121"/>
          <w:shd w:val="clear" w:color="auto" w:fill="FFFFFF"/>
        </w:rPr>
        <w:t>maintenance regimen</w:t>
      </w:r>
      <w:r w:rsidR="009B5802" w:rsidRPr="009A3DB4">
        <w:rPr>
          <w:rFonts w:cstheme="minorHAnsi"/>
          <w:color w:val="212121"/>
          <w:shd w:val="clear" w:color="auto" w:fill="FFFFFF"/>
        </w:rPr>
        <w:t xml:space="preserve"> </w:t>
      </w:r>
      <w:r w:rsidRPr="009A3DB4">
        <w:rPr>
          <w:rFonts w:cstheme="minorHAnsi"/>
          <w:color w:val="212121"/>
          <w:shd w:val="clear" w:color="auto" w:fill="FFFFFF"/>
        </w:rPr>
        <w:t>of 300</w:t>
      </w:r>
      <w:r w:rsidR="005A5844" w:rsidRPr="009A3DB4">
        <w:rPr>
          <w:rFonts w:cstheme="minorHAnsi"/>
          <w:color w:val="212121"/>
          <w:shd w:val="clear" w:color="auto" w:fill="FFFFFF"/>
        </w:rPr>
        <w:t> </w:t>
      </w:r>
      <w:r w:rsidRPr="009A3DB4">
        <w:rPr>
          <w:rFonts w:cstheme="minorHAnsi"/>
          <w:color w:val="212121"/>
          <w:shd w:val="clear" w:color="auto" w:fill="FFFFFF"/>
        </w:rPr>
        <w:t>mg q</w:t>
      </w:r>
      <w:r w:rsidR="00B04E49" w:rsidRPr="009A3DB4">
        <w:rPr>
          <w:rFonts w:cstheme="minorHAnsi"/>
          <w:color w:val="212121"/>
          <w:shd w:val="clear" w:color="auto" w:fill="FFFFFF"/>
        </w:rPr>
        <w:t>24h</w:t>
      </w:r>
      <w:r w:rsidRPr="009A3DB4">
        <w:rPr>
          <w:rFonts w:cstheme="minorHAnsi"/>
          <w:color w:val="212121"/>
          <w:shd w:val="clear" w:color="auto" w:fill="FFFFFF"/>
        </w:rPr>
        <w:t xml:space="preserve"> fails to achieve clinically acceptable PTA </w:t>
      </w:r>
      <w:r w:rsidR="005A5844" w:rsidRPr="009A3DB4">
        <w:rPr>
          <w:rFonts w:cstheme="minorHAnsi"/>
          <w:color w:val="212121"/>
          <w:shd w:val="clear" w:color="auto" w:fill="FFFFFF"/>
        </w:rPr>
        <w:t>on</w:t>
      </w:r>
      <w:r w:rsidRPr="009A3DB4">
        <w:rPr>
          <w:rFonts w:cstheme="minorHAnsi"/>
          <w:color w:val="212121"/>
          <w:shd w:val="clear" w:color="auto" w:fill="FFFFFF"/>
        </w:rPr>
        <w:t xml:space="preserve"> days 7 and 14. A flat maintenance dose of 400</w:t>
      </w:r>
      <w:r w:rsidR="005A5844" w:rsidRPr="009A3DB4">
        <w:rPr>
          <w:rFonts w:cstheme="minorHAnsi"/>
          <w:color w:val="212121"/>
          <w:shd w:val="clear" w:color="auto" w:fill="FFFFFF"/>
        </w:rPr>
        <w:t> </w:t>
      </w:r>
      <w:r w:rsidRPr="009A3DB4">
        <w:rPr>
          <w:rFonts w:cstheme="minorHAnsi"/>
          <w:color w:val="212121"/>
          <w:shd w:val="clear" w:color="auto" w:fill="FFFFFF"/>
        </w:rPr>
        <w:t>mg q</w:t>
      </w:r>
      <w:r w:rsidR="00B04E49" w:rsidRPr="009A3DB4">
        <w:rPr>
          <w:rFonts w:cstheme="minorHAnsi"/>
          <w:color w:val="212121"/>
          <w:shd w:val="clear" w:color="auto" w:fill="FFFFFF"/>
        </w:rPr>
        <w:t>24h</w:t>
      </w:r>
      <w:r w:rsidR="005A5844" w:rsidRPr="009A3DB4">
        <w:rPr>
          <w:rFonts w:cstheme="minorHAnsi"/>
          <w:color w:val="212121"/>
          <w:shd w:val="clear" w:color="auto" w:fill="FFFFFF"/>
        </w:rPr>
        <w:t xml:space="preserve"> (</w:t>
      </w:r>
      <w:r w:rsidRPr="009A3DB4">
        <w:rPr>
          <w:rFonts w:cstheme="minorHAnsi"/>
          <w:color w:val="212121"/>
          <w:shd w:val="clear" w:color="auto" w:fill="FFFFFF"/>
        </w:rPr>
        <w:t>irrespective of bodyweight</w:t>
      </w:r>
      <w:r w:rsidR="005A5844" w:rsidRPr="009A3DB4">
        <w:rPr>
          <w:rFonts w:cstheme="minorHAnsi"/>
          <w:color w:val="212121"/>
          <w:shd w:val="clear" w:color="auto" w:fill="FFFFFF"/>
        </w:rPr>
        <w:t xml:space="preserve">) </w:t>
      </w:r>
      <w:r w:rsidRPr="009A3DB4">
        <w:rPr>
          <w:rFonts w:cstheme="minorHAnsi"/>
          <w:color w:val="212121"/>
          <w:shd w:val="clear" w:color="auto" w:fill="FFFFFF"/>
        </w:rPr>
        <w:t xml:space="preserve">is needed to attain the </w:t>
      </w:r>
      <w:proofErr w:type="spellStart"/>
      <w:r w:rsidRPr="009A3DB4">
        <w:rPr>
          <w:rFonts w:cstheme="minorHAnsi"/>
          <w:color w:val="212121"/>
          <w:shd w:val="clear" w:color="auto" w:fill="FFFFFF"/>
        </w:rPr>
        <w:t>C</w:t>
      </w:r>
      <w:r w:rsidRPr="009A3DB4">
        <w:rPr>
          <w:rFonts w:cstheme="minorHAnsi"/>
          <w:color w:val="212121"/>
          <w:shd w:val="clear" w:color="auto" w:fill="FFFFFF"/>
          <w:vertAlign w:val="subscript"/>
        </w:rPr>
        <w:t>min</w:t>
      </w:r>
      <w:proofErr w:type="spellEnd"/>
      <w:r w:rsidRPr="009A3DB4">
        <w:rPr>
          <w:rFonts w:cstheme="minorHAnsi"/>
          <w:color w:val="212121"/>
          <w:shd w:val="clear" w:color="auto" w:fill="FFFFFF"/>
        </w:rPr>
        <w:t xml:space="preserve"> treatment target. </w:t>
      </w:r>
      <w:r w:rsidR="00857761" w:rsidRPr="009A3DB4">
        <w:rPr>
          <w:rFonts w:cstheme="minorHAnsi"/>
          <w:bCs/>
        </w:rPr>
        <w:t xml:space="preserve">This optimized dosing regimen guaranteeing target attainment also in higher </w:t>
      </w:r>
      <w:r w:rsidR="00857761" w:rsidRPr="009A3DB4">
        <w:rPr>
          <w:rFonts w:cstheme="minorHAnsi"/>
          <w:bCs/>
        </w:rPr>
        <w:lastRenderedPageBreak/>
        <w:t xml:space="preserve">bodyweight patients </w:t>
      </w:r>
      <w:r w:rsidR="009A3DB4" w:rsidRPr="009A3DB4">
        <w:rPr>
          <w:rFonts w:cstheme="minorHAnsi"/>
          <w:bCs/>
        </w:rPr>
        <w:t>is</w:t>
      </w:r>
      <w:r w:rsidR="00857761" w:rsidRPr="009A3DB4">
        <w:rPr>
          <w:rFonts w:cstheme="minorHAnsi"/>
          <w:bCs/>
        </w:rPr>
        <w:t xml:space="preserve"> </w:t>
      </w:r>
      <w:r w:rsidR="009A3DB4" w:rsidRPr="009A3DB4">
        <w:rPr>
          <w:rFonts w:cstheme="minorHAnsi"/>
          <w:bCs/>
        </w:rPr>
        <w:t>relevant</w:t>
      </w:r>
      <w:r w:rsidR="00857761" w:rsidRPr="009A3DB4">
        <w:rPr>
          <w:rFonts w:cstheme="minorHAnsi"/>
          <w:bCs/>
        </w:rPr>
        <w:t xml:space="preserve"> for treating CAPA, as patients admitted to the ICU with COVID-19 </w:t>
      </w:r>
      <w:r w:rsidR="00857761" w:rsidRPr="009A3DB4">
        <w:rPr>
          <w:rFonts w:cstheme="minorHAnsi"/>
        </w:rPr>
        <w:t xml:space="preserve">often </w:t>
      </w:r>
      <w:r w:rsidR="00DF1A24" w:rsidRPr="009A3DB4">
        <w:rPr>
          <w:rFonts w:cstheme="minorHAnsi"/>
          <w:bCs/>
        </w:rPr>
        <w:t xml:space="preserve">have </w:t>
      </w:r>
      <w:r w:rsidR="00857761" w:rsidRPr="009A3DB4">
        <w:rPr>
          <w:rFonts w:cstheme="minorHAnsi"/>
        </w:rPr>
        <w:t>higher bodyweight</w:t>
      </w:r>
      <w:r w:rsidR="00757C33" w:rsidRPr="009A3DB4">
        <w:rPr>
          <w:rFonts w:cstheme="minorHAnsi"/>
        </w:rPr>
        <w:t xml:space="preserve"> </w:t>
      </w:r>
      <w:r w:rsidR="00757C33" w:rsidRPr="009A3DB4">
        <w:rPr>
          <w:rFonts w:cstheme="minorHAnsi"/>
        </w:rPr>
        <w:fldChar w:fldCharType="begin"/>
      </w:r>
      <w:r w:rsidR="00C6202C">
        <w:rPr>
          <w:rFonts w:cstheme="minorHAnsi"/>
        </w:rPr>
        <w:instrText xml:space="preserve"> ADDIN ZOTERO_ITEM CSL_CITATION {"citationID":"dyhUOkRG","properties":{"formattedCitation":"[13]","plainCitation":"[13]","noteIndex":0},"citationItems":[{"id":14386,"uris":["http://zotero.org/users/7911495/items/IWQDYCNX",["http://zotero.org/users/7911495/items/IWQDYCNX"],["http://zotero.org/users/7911495/items/IWQDYCNX",["http://zotero.org/users/7911495/items/IWQDYCNX"]]],"itemData":{"id":14386,"type":"article-journal","abstract":"To accommodate the unprecedented number of critically ill patients with pneumonia caused by coronavirus disease 2019 (COVID-19) expansion of the capacity of intensive care unit (ICU) to clinical areas not previously used for critical care was necessary. We describe the global burden of COVID-19 admissions and the clinical and organizational characteristics associated with outcomes in critically ill COVID-19 patients.","container-title":"Intensive Care Medicine","DOI":"10.1007/s00134-022-06705-1","ISSN":"1432-1238","issue":"6","journalAbbreviation":"Intensive Care Med","language":"en","page":"690-705","source":"Springer Link","title":"Clinical and organizational factors associated with mortality during the peak of first COVID-19 wave: the global UNITE-COVID study","title-short":"Clinical and organizational factors associated with mortality during the peak of first COVID-19 wave","volume":"48","author":[{"family":"Greco","given":"Massimiliano"},{"family":"De Corte","given":"Thomas"},{"family":"Ercole","given":"Ari"},{"family":"Antonelli","given":"Massimo"},{"family":"Azoulay","given":"Elie"},{"family":"Citerio","given":"Giuseppe"},{"family":"Morris","given":"Andy Conway"},{"family":"De Pascale","given":"Gennaro"},{"family":"Duska","given":"Frantisek"},{"family":"Elbers","given":"Paul"},{"family":"Einav","given":"Sharon"},{"family":"Forni","given":"Lui"},{"family":"Galarza","given":"Laura"},{"family":"Girbes","given":"Armand R. J."},{"family":"Grasselli","given":"Giacomo"},{"family":"Gusarov","given":"Vitaly"},{"family":"Jubb","given":"Alasdair"},{"family":"Kesecioglu","given":"Jozef"},{"family":"Lavinio","given":"Andrea"},{"family":"Delgado","given":"Maria Cruz Martin"},{"family":"Mellinghoff","given":"Johannes"},{"family":"Myatra","given":"Sheila Nainan"},{"family":"Ostermann","given":"Marlies"},{"family":"Pellegrini","given":"Mariangela"},{"family":"Povoa","given":"Pedro"},{"family":"Schaller","given":"Stefan J."},{"family":"Teboul","given":"Jean-Louis"},{"family":"Wong","given":"Adrian"},{"family":"De Waele","given":"Jan J."},{"family":"Cecconi","given":"Maurizio"},{"family":"Bezzi","given":"Marco"},{"family":"Gira","given":"Alicia"},{"family":"Eller","given":"Philipp"},{"family":"Hamid","given":"Tarikul"},{"family":"Haque","given":"Injamam Ull"},{"family":"De Buyser","given":"Wim"},{"family":"Cudia","given":"Antonella"},{"family":"De Backer","given":"Daniel"},{"family":"Foulon","given":"Pierre"},{"family":"Collin","given":"Vincent"},{"family":"De Waele","given":"Jan"},{"family":"Van Hecke","given":"Jolien"},{"family":"De Waele","given":"Elisabeth"},{"family":"Van Malderen","given":"Claire"},{"family":"Mesland","given":"Jean-Baptiste"},{"family":"Biston","given":"Patrick"},{"family":"Piagnerelli","given":"Michael"},{"family":"Haentjens","given":"Lionel"},{"family":"De Schryver","given":"Nicolas"},{"family":"Van Leemput","given":"Jan"},{"family":"Vanhove","given":"Philippe"},{"family":"Bulpa","given":"Pierre"},{"family":"Ilieva","given":"Viktoria"},{"family":"Katz","given":"David"},{"family":"Binnie","given":"Alexandra"},{"family":"Geagea","given":"Anna"},{"family":"Tirapegui","given":"Fernando"},{"family":"Lago","given":"Gustavo"},{"family":"Graf","given":"Jerónimo"},{"family":"Perez-Araos","given":"Rodrigo"},{"family":"Vargas","given":"Patricio"},{"family":"Martinez","given":"Felipe"},{"family":"Labarca","given":"Eduardo"},{"family":"Franco","given":"Daniel Molano"},{"family":"Parra-Tanoux","given":"Daniela"},{"family":"Reyes","given":"Luis Felipe"},{"family":"Yepes","given":"David"},{"family":"Periš","given":"Filip"},{"family":"Stipić","given":"Sanda Stojanović"},{"family":"Burgos","given":"Cynthia Vanessa Campozano"},{"family":"Boada","given":"Paulo Roberto Navas"},{"family":"Brun","given":"Jose Luis Barberan"},{"family":"Ballesteros","given":"Juan Pablo Paredes"},{"family":"Abdelnasser","given":"Gamal"},{"family":"Hammouda","given":"Ahmed"},{"family":"Elmandouh","given":"Omar"},{"family":"Azzam","given":"Ahmed"},{"family":"Hussein","given":"Aliae Mohamed"},{"family":"Galal","given":"Islam"},{"family":"Awad","given":"Ahmed K."},{"family":"Azab","given":"Mohammed A."},{"family":"Abdalla","given":"Maged"},{"family":"Assal","given":"Hebatallah"},{"family":"Alfishawy","given":"Mostafa"},{"family":"Ghozy","given":"Sherief"},{"family":"Tharwat","given":"Samar"},{"family":"Eldaly","given":"Abdullah"},{"family":"Ellervee","given":"Anneli"},{"family":"Reinhard","given":"Veronika"},{"family":"Chrisment","given":"Anne"},{"family":"Poyat","given":"Chrystelle"},{"family":"Badie","given":"Julio"},{"family":"Ferrari","given":"Fernando Berdaguer"},{"family":"Weiss","given":"Björn"},{"family":"Schellenberg","given":"Clara"},{"family":"Grunow","given":"Julius J."},{"family":"Lorenz","given":"Marco"},{"family":"Schaller","given":"Stefan J."},{"family":"Spieth","given":"Peter"},{"family":"Bota","given":"Marc"},{"family":"Fichtner","given":"Falk"},{"family":"Fuest","given":"Kristina"},{"family":"Lahmer","given":"Tobias"},{"family":"Herrmann","given":"Johannes"},{"family":"Meybohm","given":"Patrick"},{"family":"Markou","given":"Nikolaos"},{"family":"Vasileiadou","given":"Georgia"},{"family":"Chrysanthopoulou","given":"Evangelia"},{"family":"Papamichalis","given":"Panagiotis"},{"family":"Soultati","given":"Ioanna"},{"family":"Jog","given":"Sameer"},{"family":"Kalvit","given":"Kushal"},{"family":"Myatra","given":"Sheila Nainan"},{"family":"Krupa","given":"Ivan"},{"family":"Tharwat","given":"Aisa"},{"family":"Nichol","given":"Alistair"},{"family":"McCarthy","given":"Aine"},{"family":"Mahmoodpoor","given":"Ata"},{"family":"Tonetti","given":"Tommaso"},{"family":"Isoni","given":"Paolo"},{"family":"Spadaro","given":"Savino"},{"family":"Volta","given":"Carlo Alberto"},{"family":"Mirabella","given":"Lucia"},{"family":"Noto","given":"Alberto"},{"family":"Florio","given":"Gaetano"},{"family":"Guzzardella","given":"Amedeo"},{"family":"Paleari","given":"Chiara"},{"family":"Baccanelli","given":"Federica"},{"family":"Savi","given":"Marzia"},{"family":"Antonelli","given":"Massimo"},{"family":"De Pascale","given":"Gennaro"},{"family":"Luca","given":"San"},{"family":"Vaccarini","given":"Barbara"},{"family":"Montrucchio","given":"Giorgia"},{"family":"Sales","given":"Gabriele"},{"family":"Donadello","given":"Katia"},{"family":"Gottin","given":"Leonardo"},{"family":"Nizzero","given":"Marta"},{"family":"Polati","given":"Enrico"},{"family":"De Rosa","given":"Silvia"},{"family":"Sulemanji","given":"Demet"},{"family":"Abusalama","given":"Abdurraouf"},{"family":"Elhadi","given":"Muhammed"},{"family":"De FelipeJesus","given":"Montelongo"},{"family":"Gonzalez","given":"Daniel Rodriguez"},{"family":"Robles","given":"Victor Hugo Madrigal"},{"family":"Canedo","given":"Nancy"},{"family":"Chavez","given":"Alejandro Esquivel"},{"family":"Dendane","given":"Tarek"},{"family":"Grady","given":"Bart"},{"family":"Jong","given":"Ben","non-dropping-particle":"de"},{"family":"Heiden","given":"Eveline","non-dropping-particle":"van der"},{"family":"Thoral","given":"Patrick"},{"family":"Bogaard","given":"Bas","non-dropping-particle":"van den"},{"family":"Spronk","given":"Peter E."},{"family":"Achterberg","given":"Sefanja"},{"family":"Groeneveld","given":"Melanie"},{"family":"So","given":"Ralph K. L."},{"family":"Wijs","given":"Calvin","non-dropping-particle":"de"},{"family":"Scholten","given":"Harm"},{"family":"Beishuizen","given":"Albertus"},{"family":"Cornet","given":"Alexander D."},{"family":"Reidinga","given":"Auke C."},{"family":"Kranen","given":"Hetty"},{"family":"Mensink","given":"Roos"},{"family":"Gasthuis","given":"Spaarne"},{"family":"Boer","given":"Sylvia","non-dropping-particle":"den"},{"family":"Groot","given":"Marcel","non-dropping-particle":"de"},{"family":"Beck","given":"Oliver"},{"family":"Bethlehem","given":"Carina"},{"family":"Bussel","given":"Bas","non-dropping-particle":"van"},{"family":"Frenzel","given":"Tim"},{"family":"Jong","given":"Celestine","non-dropping-particle":"de"},{"family":"Wilting","given":"Rob"},{"family":"Kesecioglu","given":"Jozef"},{"family":"Mehagnoul-Schipper","given":"Jannet"},{"family":"Alasia","given":"Datonye"},{"family":"Kumar","given":"Ashok"},{"family":"Qayyum","given":"Ahad"},{"family":"Rana","given":"Muhammad"},{"family":"Jayyab","given":"Mustafa Abu"},{"family":"Sierra","given":"Rosario Quispe"},{"family":"Hernandez","given":"Aaron Mark"},{"family":"Almeida","given":"José","non-dropping-particle":"de"},{"family":"Taborda","given":"Lúcia"},{"family":"Anselmo","given":"Mónica"},{"family":"Ramires","given":"Tiago"},{"family":"Silva","given":"Catarina"},{"family":"Roriz","given":"Carolina"},{"family":"Morais","given":"Rui"},{"family":"Póvoa","given":"Pedro"},{"family":"Patricio","given":"Patricia"},{"family":"Pinto","given":"André"},{"family":"Santos","given":"Maria Lurdes"},{"family":"Costa","given":"Vasco"},{"family":"Cunha","given":"Pedro"},{"family":"Gonçalves","given":"Celina"},{"family":"Nunes","given":"Sandra"},{"family":"Camões","given":"João"},{"family":"Adrião","given":"Diana"},{"family":"Oliveira","given":"Ana"},{"family":"Omrani","given":"Ali"},{"family":"Al Maslamani","given":"Muna"},{"family":"elbuzidi","given":"Abdurrahmaan Suei"},{"family":"Al qudah","given":"Bara Mahmoud"},{"family":"Akkari","given":"Abdel Rauof"},{"family":"Alkhatteb","given":"Mohamed"},{"family":"Baiou","given":"Anas"},{"family":"Husain","given":"Ahmed"},{"family":"Alwraidat","given":"Mohamed"},{"family":"Saif","given":"Ibrahim Abdulsalam"},{"family":"Bakdach","given":"Dana"},{"family":"Ahmed","given":"Amna"},{"family":"Aleef","given":"Mohamed"},{"family":"Bintaher","given":"Awadh"},{"family":"Petrisor","given":"Cristina"},{"family":"Popov","given":"Evgeniy"},{"family":"Popova","given":"Ksenia"},{"family":"Dementienko","given":"Mariia"},{"family":"Teplykh","given":"Boris"},{"family":"Pyregov","given":"Alexey"},{"family":"Davydova","given":"Liubov"},{"family":"Vladislav","given":"Belskii"},{"family":"Neporada","given":"Elena"},{"family":"Zverev","given":"Ivan"},{"family":"Meshchaninova","given":"Svetlana"},{"family":"Sokolov","given":"Dmitry"},{"family":"Gavrilova","given":"Elena"},{"family":"Shlyk","given":"Irina"},{"family":"Poliakov","given":"Igor"},{"family":"Vlasova","given":"Marina"},{"family":"Aljuhani","given":"Ohoud"},{"family":"Alkhalaf","given":"Amina"},{"family":"Humaid","given":"Felwa Bin"},{"family":"Arabi","given":"Yaseen"},{"family":"Kuhail","given":"Ahmed"},{"family":"Elrabi","given":"Omar"},{"family":"Ghannam","given":"Madihah E."},{"family":"Fong","given":"Ng Teng"},{"family":"Kansal","given":"Amit"},{"family":"Ho","given":"Vui Kian"},{"family":"Ng","given":"Jensen"},{"family":"García","given":"Raquel Rodrígez"},{"family":"Fraga","given":"Xiana Taboada"},{"family":"Pilar García-Bonillo","given":"Mª","non-dropping-particle":"del"},{"family":"Padilla-Serrano","given":"Antonio"},{"family":"Cuadrado","given":"Marta Martin"},{"family":"Ferrando","given":"Carlos"},{"family":"Catalan-Monzon","given":"Ignacio"},{"family":"Galarza","given":"Laura"},{"family":"Frutos-Vivar","given":"Fernando"},{"family":"Jimenez","given":"Jorge"},{"family":"Rodríguez-Solis","given":"Carmen"},{"family":"Franquesa-Gonzalez","given":"Enric"},{"family":"Acosta","given":"Guillermo Pérez"},{"family":"Cabrera","given":"Luciano Santana"},{"family":"Parra","given":"Juan Pablo Aviles"},{"family":"Gonzalez","given":"Francisco Muñoyerro"},{"family":"Carmen Lorente Conesa","given":"Maria","non-dropping-particle":"del"},{"family":"Varela","given":"Ignacio Yago Martinez"},{"family":"Pravia","given":"Orville Victoriano Baez"},{"family":"Delgado","given":"Maria Cruz Martin"},{"family":"Cabo","given":"Carlos Munoz","non-dropping-particle":"de"},{"family":"Ioan","given":"Ana-Maria"},{"family":"Perez-Calvo","given":"Cesar"},{"family":"Santos","given":"Arnoldo"},{"family":"Abad-Motos","given":"Ane"},{"family":"Ripolles-Melchor","given":"Javier"},{"family":"Martin","given":"Belén Civantos"},{"family":"Teruel","given":"Santiago Yus"},{"family":"Lucas","given":"Juan Higuera"},{"family":"Ortiz","given":"Aaron Blandino"},{"family":"Pablo Sánchez","given":"Raúl","non-dropping-particle":"de"},{"family":"Barrueco-Francioni","given":"Jesús Emilio"},{"family":"Espina","given":"Lorena Forcelledo"},{"family":"Bonell-Goytisolo","given":"José M."},{"family":"Salaverria","given":"Iñigo"},{"family":"Mir","given":"Antonia Socias"},{"family":"Rodriguez-Ruiz","given":"Emilio"},{"family":"Valverde","given":"Virginia Hidalgo"},{"family":"Cubero","given":"Patricia Jimeno"},{"family":"Linde","given":"Francisca Arbol"},{"family":"Leganes","given":"Nieves Cruza"},{"family":"Romeu","given":"Juan Maria"},{"family":"Concha","given":"Pablo"},{"family":"Berezo-Garcia","given":"José Angel"},{"family":"Fraile","given":"Virginia"},{"family":"Cuenca-Rubio","given":"Cristina"},{"family":"Pérez-Torres","given":"David"},{"family":"Serrano","given":"Ainhoa"},{"family":"Valero","given":"Clara Martínez"},{"family":"Suner","given":"Andrea Ortiz"},{"family":"Larrañaga","given":"Leire"},{"family":"Legaristi","given":"Noemi"},{"family":"Ferrigno","given":"Gerardo"},{"family":"Khlafalla","given":"Safa"},{"family":"Bihariesingh-Sanchit","given":"Rosita"},{"family":"Sjukhus","given":"Hallands"},{"family":"Zoerner","given":"Frank"},{"literal":"the ESICM UNITE-COVID investigators"}],"issued":{"date-parts":[["2022",6,1]]}}}],"schema":"https://github.com/citation-style-language/schema/raw/master/csl-citation.json"} </w:instrText>
      </w:r>
      <w:r w:rsidR="00757C33" w:rsidRPr="009A3DB4">
        <w:rPr>
          <w:rFonts w:cstheme="minorHAnsi"/>
        </w:rPr>
        <w:fldChar w:fldCharType="separate"/>
      </w:r>
      <w:r w:rsidR="00C6202C">
        <w:rPr>
          <w:rFonts w:ascii="Calibri" w:hAnsi="Calibri" w:cs="Calibri"/>
        </w:rPr>
        <w:t>[13]</w:t>
      </w:r>
      <w:r w:rsidR="00757C33" w:rsidRPr="009A3DB4">
        <w:rPr>
          <w:rFonts w:cstheme="minorHAnsi"/>
        </w:rPr>
        <w:fldChar w:fldCharType="end"/>
      </w:r>
      <w:r w:rsidR="009F4C16" w:rsidRPr="009A3DB4">
        <w:rPr>
          <w:rFonts w:cstheme="minorHAnsi"/>
        </w:rPr>
        <w:t>.</w:t>
      </w:r>
    </w:p>
    <w:p w14:paraId="422B9A55" w14:textId="39513D29" w:rsidR="00C273D0" w:rsidRPr="009A3DB4" w:rsidRDefault="00C273D0" w:rsidP="00C273D0">
      <w:pPr>
        <w:spacing w:line="480" w:lineRule="auto"/>
        <w:jc w:val="both"/>
      </w:pPr>
      <w:r w:rsidRPr="009A3DB4">
        <w:rPr>
          <w:rFonts w:cstheme="minorHAnsi"/>
          <w:color w:val="212121"/>
          <w:shd w:val="clear" w:color="auto" w:fill="FFFFFF"/>
        </w:rPr>
        <w:t xml:space="preserve">The optimized posaconazole dosing regimen that we recommend increases the </w:t>
      </w:r>
      <w:r w:rsidR="008E0913">
        <w:rPr>
          <w:rFonts w:cstheme="minorHAnsi"/>
          <w:color w:val="212121"/>
          <w:shd w:val="clear" w:color="auto" w:fill="FFFFFF"/>
        </w:rPr>
        <w:t xml:space="preserve">overall </w:t>
      </w:r>
      <w:r w:rsidRPr="009A3DB4">
        <w:rPr>
          <w:rFonts w:cstheme="minorHAnsi"/>
          <w:color w:val="212121"/>
          <w:shd w:val="clear" w:color="auto" w:fill="FFFFFF"/>
        </w:rPr>
        <w:t>posaconazole exposure. Theoretically, this might increase the risk of toxicity (</w:t>
      </w:r>
      <w:r w:rsidRPr="009A3DB4">
        <w:rPr>
          <w:rFonts w:cstheme="minorHAnsi"/>
          <w:i/>
          <w:iCs/>
          <w:color w:val="212121"/>
          <w:shd w:val="clear" w:color="auto" w:fill="FFFFFF"/>
        </w:rPr>
        <w:t xml:space="preserve">e.g., </w:t>
      </w:r>
      <w:r w:rsidRPr="009A3DB4">
        <w:rPr>
          <w:rFonts w:cstheme="minorHAnsi"/>
          <w:color w:val="212121"/>
          <w:shd w:val="clear" w:color="auto" w:fill="FFFFFF"/>
        </w:rPr>
        <w:t>liver injury</w:t>
      </w:r>
      <w:r w:rsidR="00C15D8B" w:rsidRPr="009A3DB4">
        <w:rPr>
          <w:rFonts w:cstheme="minorHAnsi"/>
          <w:color w:val="212121"/>
          <w:shd w:val="clear" w:color="auto" w:fill="FFFFFF"/>
        </w:rPr>
        <w:t>, and</w:t>
      </w:r>
      <w:r w:rsidR="0057306E" w:rsidRPr="009A3DB4">
        <w:rPr>
          <w:rFonts w:cstheme="minorHAnsi"/>
          <w:color w:val="212121"/>
          <w:shd w:val="clear" w:color="auto" w:fill="FFFFFF"/>
        </w:rPr>
        <w:t xml:space="preserve"> </w:t>
      </w:r>
      <w:r w:rsidR="00E14F93" w:rsidRPr="009A3DB4">
        <w:t>pseudo-hyperaldosteronism</w:t>
      </w:r>
      <w:r w:rsidRPr="009A3DB4">
        <w:rPr>
          <w:rFonts w:cstheme="minorHAnsi"/>
          <w:color w:val="212121"/>
          <w:shd w:val="clear" w:color="auto" w:fill="FFFFFF"/>
        </w:rPr>
        <w:t xml:space="preserve">), as suggested in some small or retrospective studies </w:t>
      </w:r>
      <w:r w:rsidRPr="009A3DB4">
        <w:rPr>
          <w:rFonts w:cstheme="minorHAnsi"/>
          <w:color w:val="212121"/>
          <w:shd w:val="clear" w:color="auto" w:fill="FFFFFF"/>
        </w:rPr>
        <w:fldChar w:fldCharType="begin"/>
      </w:r>
      <w:r w:rsidR="00C6202C">
        <w:rPr>
          <w:rFonts w:cstheme="minorHAnsi"/>
          <w:color w:val="212121"/>
          <w:shd w:val="clear" w:color="auto" w:fill="FFFFFF"/>
        </w:rPr>
        <w:instrText xml:space="preserve"> ADDIN ZOTERO_ITEM CSL_CITATION {"citationID":"o4Lbl1Ji","properties":{"formattedCitation":"[14,15]","plainCitation":"[14,15]","noteIndex":0},"citationItems":[{"id":12921,"uris":["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http://zotero.org/users/7911495/items/RA2AAH4A"]]]]],"itemData":{"id":12921,"type":"article-journal","abstract":"Posaconazole is the preferred mold-active azole for prophylaxis against invasive fungal infections (IFIs) in patients with hematological malignancy. Delayed-release tablet and intravenous formulations of posaconazole have recently become available, but clinical data are limited. We sought to examine the real-world pharmacokinetics and prophylactic effectiveness of the new formulations of posaconazole given as prophylaxis for patients with hematological malignancy. A retrospective cohort of all consecutive adult inpatients with hematological malignancy who received ≥3 days of tablet or intravenous posaconazole therapy for primary IFI prophylaxis at the M. D. Anderson Cancer Center between 1 December 2013 and 31 December 2015 was established. Clinical information was collected and correlated with low posaconazole serum levels (&lt;700 ng/ml). Rates of IFIs and safety events were assessed. A total of 1,321 courses of posaconazole were administered at the M. D. Anderson Cancer Center during the study period, of which 343 courses were assessed for prophylactic safety and effectiveness. Seventy-nine patients (23%) had posaconazole serum level measurements available for interpretation. Acute myeloid leukemia was the primary malignancy (62%), with 20% of all patients having previously received a stem cell transplant. The median posaconazole level was 1,380 ng/ml (interquartile range, 864 to 1,860 ng/ml). Low posaconazole levels (&lt;700 ng/ml) were observed for 14 patients (18%). Proven or probable breakthrough IFIs occurred in 8 patients (2%); posaconazole therapeutic drug monitoring (TDM) was performed for 6 of those patients, all with levels above 700 ng/ml. Overall, 19% of patients experienced grade 3 or 4 liver injury, manifesting primarily as hyperbilirubinemia and being correlated with serum levels of &gt;1,830 ng/ml. Although hepatotoxicity in a small percentage of patients is of concern, posaconazole tablets appeared to be generally safe and effective. As all breakthrough IFIs for which TDM was performed occurred in patients with levels of &gt;700 ng/ml, and a posaconazole level of &gt;1,830 ng/ml was correlated with grade 3 or 4 liver toxicity, further studies are needed to assess the role of TDM.","container-title":"Antimicrobial Agents and Chemotherapy","DOI":"10.1128/AAC.00188-17","ISSN":"0066-4804","issue":"8","journalAbbreviation":"Antimicrob Agents Chemother","note":"PMID: 28507111\nPMCID: PMC5527592","page":"e00188-17","source":"PubMed Central","title":"Real-Life Assessment of the Safety and Effectiveness of the New Tablet and Intravenous Formulations of Posaconazole in the Prophylaxis of Invasive Fungal Infections via Analysis of 343 Courses","volume":"61","author":[{"family":"Tverdek","given":"Frank P."},{"family":"Heo","given":"Sang Taek"},{"family":"Aitken","given":"Samuel L."},{"family":"Granwehr","given":"Bruno"},{"family":"Kontoyiannis","given":"Dimitrios P."}],"issued":{"date-parts":[["2017",7,25]]}}},{"id":12920,"uris":["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http://zotero.org/users/7911495/items/DYT6H6P4"]]]]],"itemData":{"id":12920,"type":"article-journal","abstract":"Posaconazole-induced pseudohyperaldosteronism is associated with higher posaconazole serum concentrations, which are correlated with increased blood pressure, decreased potassium, and an increase in 11-deoxycortisol.","container-title":"Clinical Infectious Diseases: An Official Publication of the Infectious Diseases Society of America","DOI":"10.1093/cid/ciz741","ISSN":"1058-4838","issue":"12","journalAbbreviation":"Clin Infect Dis","note":"PMID: 31403165\nPMCID: PMC7286374","page":"2593-2598","source":"PubMed Central","title":"Posaconazole Serum Drug Levels Associated With Pseudohyperaldosteronism","volume":"70","author":[{"family":"Nguyen","given":"Minh-Vu H"},{"family":"Davis","given":"Matthew R"},{"family":"Wittenberg","given":"Rebecca"},{"family":"Mchardy","given":"Ian"},{"family":"Baddley","given":"John W"},{"family":"Young","given":"Brian Y"},{"family":"Odermatt","given":"Alex"},{"family":"Thompson","given":"George R"}],"issued":{"date-parts":[["2020",6,15]]}}}],"schema":"https://github.com/citation-style-language/schema/raw/master/csl-citation.json"} </w:instrText>
      </w:r>
      <w:r w:rsidRPr="009A3DB4">
        <w:rPr>
          <w:rFonts w:cstheme="minorHAnsi"/>
          <w:color w:val="212121"/>
          <w:shd w:val="clear" w:color="auto" w:fill="FFFFFF"/>
        </w:rPr>
        <w:fldChar w:fldCharType="separate"/>
      </w:r>
      <w:r w:rsidR="00C6202C">
        <w:rPr>
          <w:rFonts w:ascii="Calibri" w:hAnsi="Calibri" w:cs="Calibri"/>
        </w:rPr>
        <w:t>[14,15]</w:t>
      </w:r>
      <w:r w:rsidRPr="009A3DB4">
        <w:rPr>
          <w:rFonts w:cstheme="minorHAnsi"/>
          <w:color w:val="212121"/>
          <w:shd w:val="clear" w:color="auto" w:fill="FFFFFF"/>
        </w:rPr>
        <w:fldChar w:fldCharType="end"/>
      </w:r>
      <w:r w:rsidRPr="009A3DB4">
        <w:rPr>
          <w:rFonts w:cstheme="minorHAnsi"/>
          <w:color w:val="212121"/>
          <w:shd w:val="clear" w:color="auto" w:fill="FFFFFF"/>
        </w:rPr>
        <w:t xml:space="preserve">. However, a clear relation between exposure and toxicity has thus far not been documented in larger clinical trials </w:t>
      </w:r>
      <w:r w:rsidRPr="009A3DB4">
        <w:fldChar w:fldCharType="begin"/>
      </w:r>
      <w:r w:rsidR="007E664E">
        <w:instrText xml:space="preserve"> ADDIN ZOTERO_ITEM CSL_CITATION {"citationID":"JtBU2AL0","properties":{"formattedCitation":"[16\\uc0\\u8211{}18]","plainCitation":"[16–18]","noteIndex":0},"citationItems":[{"id":413,"uris":["http://zotero.org/users/7911495/items/AEVFHWK5",["http://zotero.org/users/7911495/items/AEVFHWK5"],["http://zotero.org/users/7911495/items/AEVFHWK5",["http://zotero.org/users/7911495/items/AEVFHWK5"]]],"itemData":{"id":413,"type":"article-journal","abstract":"Objectives: A two-part (Phase 1B/3), sequential, open-label, multicentre study evaluated the pharmacokinetics (PK) and safety of intravenous (iv) posaconazole given as antifungal prophylaxis to neutropenic patients with AML or myelodysplastic syndrome (MDS) or to recipients at risk of invasive fungal disease (IFD) after allogeneic HSCT.\nMethods: Patients (N = 237) received 300 mg of posaconazole iv twice daily on day 1, followed by 300 mg of posaconazole iv once daily for 4-28 days. After at least 5 days, patients were randomly assigned to receive posaconazole oral suspension, 400 mg twice daily or 200 mg three times daily, to complete a 28 day treatment course. Primary PK parameters were steady-state average concentration over the dosing interval (Cavg) and posaconazole trough levels (Cmin).\nResults: Mean posaconazole Cmin was 1320 ng/mL (day 6) and 1297 ng/mL (day 8); steady-state Cmin was 1090 ng/mL (day 10). Mean steady-state posaconazole Cavg was 1500 ng/mL (day 10 or 14) and was similar in HSCT recipients (1560 ng/mL) and AML/MDS patients (1470 ng/mL). The most commonly reported treatment-related adverse events were diarrhoea (8%), nausea (5%) and rash (5%). IFD was reported in 3/237 patients (1%; 2 proven, 1 probable).\nConclusions: Intravenous posaconazole at 300 mg was well tolerated, resulted in adequate steady-state systemic exposure and was associated with a low incidence of IFD in this population at high risk.\nTrial registry and number: ClinicalTrials.gov, NCT01075984.","container-title":"The Journal of Antimicrobial Chemotherapy","DOI":"10.1093/jac/dkx263","ISSN":"1460-2091","issue":"12","journalAbbreviation":"J Antimicrob Chemother","language":"eng","note":"PMID: 28961714","page":"3406-3413","source":"PubMed","title":"Pharmacokinetics and safety results from the Phase 3 randomized, open-label, study of intravenous posaconazole in patients at risk of invasive fungal disease","volume":"72","author":[{"family":"Cornely","given":"Oliver A."},{"family":"Robertson","given":"Michael N."},{"family":"Haider","given":"Shariq"},{"family":"Grigg","given":"Andrew"},{"family":"Geddes","given":"Michelle"},{"family":"Aoun","given":"Mickael"},{"family":"Heinz","given":"Werner J."},{"family":"Raad","given":"Issam"},{"family":"Schanz","given":"Urs"},{"family":"Meyer","given":"Ralf G."},{"family":"Hammond","given":"Sarah P."},{"family":"Mullane","given":"Kathleen M."},{"family":"Ostermann","given":"Helmut"},{"family":"Ullmann","given":"Andrew J."},{"family":"Zimmerli","given":"Stefan"},{"family":"Van Iersel","given":"M. L. P. S."},{"family":"Hepler","given":"Deborah A."},{"family":"Waskin","given":"Hetty"},{"family":"Kartsonis","given":"Nicholas A."},{"family":"Maertens","given":"Johan"}],"issued":{"date-parts":[["2017",12,1]]}}},{"id":15380,"uris":["http://zotero.org/users/7911495/items/VH8WBG84"],"itemData":{"id":15380,"type":"article-journal","abstract":"Experience in the clinical use of posaconazole (PCZ) in pediatric patients is limited, and no specific dose recommendations exist. This study aimed to investigate an appropriate dosing regimen, and assess the exposure-response relationships of PCZ in children. We reviewed the medical records of inpatients aged &lt;18 years who subjected to PCZ concentrations monitoring. Clinical data, PCZ dosing and monitoring data were collected. A total of 375 PCZ trough concentrations (C\nmin) from 105 pediatric patients were included. For children receiving PCZ for prophylaxis, the median doses required to achieve the therapeutic range at the ages of &lt;6, 6–12 and &gt;12 years were 14.80, 14.52 and 12.90 mg/kg/day, respectively (p = 0.001); and for those receiving PCZ for treatment, the median doses were 23.50, 20.96 and 15.38 mg/kg/day, respectively (p = 0.001). Among children taking PCZ for prophylaxis, 12% developed a proven or probable breakthrough IFIs; the median PCZ concentrations were significantly lower than those children with successful treatment response (0.43 versus 1.20 μg mL−1; p &lt; 0.001). 79.2% patients taking PCZ for treatment had a positive clinical response, and the median PCZ concentrations were significantly higher than those children with disease progression (1.06 versus 0.53 μg mL−1; p = 0.024). No association between C\nmin values and hepatotoxicity was observed. Factors such as age, CRP, ALT and co-administration with proton pump inhibitors exhibited significant effects on PCZ C\nmin. It is necessary to adjust the dosing regimens based on PCZ C\nmin to individualize antifungal therapy and provide guidelines for dose adjustment in children.","container-title":"Frontiers in Pharmacology","DOI":"10.3389/fphar.2022.833303","ISSN":"1663-9812","journalAbbreviation":"Front Pharmacol","note":"PMID: 35517786\nPMCID: PMC9061949","page":"833303","source":"PubMed Central","title":"Dose Optimisation of Posaconazole and Therapeutic Drug Monitoring in Pediatric Patients","volume":"13","author":[{"family":"Jia","given":"Mengmeng"},{"family":"Zhang","given":"Qiwen"},{"family":"Qin","given":"Zifei"},{"family":"Wang","given":"Dao"},{"family":"Liu","given":"Peng"},{"family":"Yang","given":"Jing"},{"family":"Zhang","given":"Xiaojian"}],"issued":{"date-parts":[["2022",4,19]]}}},{"id":14385,"uris":["http://zotero.org/users/7911495/items/322L3WYJ",["http://zotero.org/users/7911495/items/322L3WYJ"],["http://zotero.org/users/7911495/items/322L3WYJ",["http://zotero.org/users/7911495/items/322L3WYJ"]]],"itemData":{"id":14385,"type":"article-journal","abstract":"Objective Posaconazole is used for prophylaxis and treatment of invasive fungal infections in lung transplant recipients (LTR). Previous studies have not described the relationship between elevated posaconazole trough concentrations and adverse drug reactions in this population. Methods This IRB-approved, retrospective cohort study at NewYork-Presbyterian Hospital included LTR who had posaconazole trough concentrations measured. The primary aim of this study was to evaluate elevated posaconazole trough concentrations and changes in liver function tests as well as QTc interval. A secondary aim of this study was to identify patient factors associated with elevated posaconazole trough levels. Results A total of 109 LTR were included. The average age was 58.1 years (IQR, 48–65), the majority were male (56%). A total of 932 trough levels were assessed with a median number of 8 (IQR, 5–15) levels per patient. The median posaconazole trough concentration was 1.7 mg/L (IQR, 1.1–2.5). Hepatotoxicity, as defined by common terminology criteria for adverse events (CTCAE), was observed in 73.4% of subjects, with the majority classified as grade 1 (67.5%). However, there was no correlation between elevated posaconazole levels and aspartate aminotransferase (r = .03), alanine aminotransferase (r = .04), alkaline phosphatase (r = .04), and total bilirubin (r = .02). There was also no correlation between posaconazole trough concentrations and QTc interval (r = .03). Conclusion This analysis demonstrates that no correlation exists between whole blood posaconazole levels and hepatotoxicity or QTc prolongation. Based on these results, posaconazole dose reductions may not be warranted for posaconazole levels that are significantly above the therapeutic target to avert risk for hepatotoxicity or QTc prolongation.","container-title":"Clinical Transplantation","DOI":"10.1111/ctr.14826","ISSN":"1399-0012","issue":"1","language":"en","page":"e14826","source":"Wiley Online Library","title":"Elevated posaconazole trough concentrations are not associated with increased risk for posaconazole toxicity in lung transplant recipients","volume":"37","author":[{"family":"Sabatino","given":"David C."},{"family":"Lange","given":"Nicholas W."},{"family":"Salerno","given":"David M."},{"family":"Scheffert","given":"Jenna"}],"issued":{"date-parts":[["2023"]]}}}],"schema":"https://github.com/citation-style-language/schema/raw/master/csl-citation.json"} </w:instrText>
      </w:r>
      <w:r w:rsidRPr="009A3DB4">
        <w:fldChar w:fldCharType="separate"/>
      </w:r>
      <w:r w:rsidR="007E664E" w:rsidRPr="007E664E">
        <w:rPr>
          <w:rFonts w:ascii="Calibri" w:hAnsi="Calibri" w:cs="Calibri"/>
        </w:rPr>
        <w:t>[16–18]</w:t>
      </w:r>
      <w:r w:rsidRPr="009A3DB4">
        <w:fldChar w:fldCharType="end"/>
      </w:r>
      <w:r w:rsidRPr="009A3DB4">
        <w:t xml:space="preserve">. Consequently, no upper limit for </w:t>
      </w:r>
      <w:proofErr w:type="spellStart"/>
      <w:r w:rsidRPr="009A3DB4">
        <w:t>C</w:t>
      </w:r>
      <w:r w:rsidRPr="009A3DB4">
        <w:rPr>
          <w:vertAlign w:val="subscript"/>
        </w:rPr>
        <w:t>min</w:t>
      </w:r>
      <w:proofErr w:type="spellEnd"/>
      <w:r w:rsidRPr="009A3DB4">
        <w:t xml:space="preserve">, corresponding to a higher risk for toxicity, has been defined for posaconazole, </w:t>
      </w:r>
      <w:r w:rsidR="005A5844" w:rsidRPr="009A3DB4">
        <w:t>unlike for</w:t>
      </w:r>
      <w:r w:rsidRPr="009A3DB4">
        <w:t xml:space="preserve"> voriconazole</w:t>
      </w:r>
      <w:r w:rsidR="0045789E" w:rsidRPr="009A3DB4">
        <w:t xml:space="preserve"> </w:t>
      </w:r>
      <w:r w:rsidR="0045789E" w:rsidRPr="009A3DB4">
        <w:fldChar w:fldCharType="begin"/>
      </w:r>
      <w:r w:rsidR="00C6202C">
        <w:instrText xml:space="preserve"> ADDIN ZOTERO_ITEM CSL_CITATION {"citationID":"86gx59X8","properties":{"formattedCitation":"[6]","plainCitation":"[6]","noteIndex":0},"citationItems":[{"id":14402,"uris":["http://zotero.org/users/7911495/items/4NB4H8JS",["http://zotero.org/users/7911495/items/4NB4H8JS"],["http://zotero.org/users/7911495/items/4NB4H8JS",["http://zotero.org/users/7911495/items/4NB4H8JS"]],["http://zotero.org/users/7911495/items/4NB4H8JS",["http://zotero.org/users/7911495/items/4NB4H8JS"],["http://zotero.org/users/7911495/items/4NB4H8JS",["http://zotero.org/users/7911495/items/4NB4H8JS"]]]],"itemData":{"id":14402,"type":"article-journal","container-title":"Clinical Microbiology and Infection","DOI":"10.1016/j.cmi.2018.01.002","ISSN":"1198-743X","journalAbbreviation":"Clinical Microbiology and Infection","language":"English","note":"publisher: Elsevier\nPMID: 29544767","page":"e1-e38","source":"www.clinicalmicrobiologyandinfection.com","title":"Diagnosis and management of Aspergillus diseases: executive summary of the 2017 ESCMID-ECMM-ERS guideline","title-short":"Diagnosis and management of Aspergillus diseases","volume":"24","author":[{"family":"Ullmann","given":"A. J."},{"family":"Aguado","given":"J. M."},{"family":"Arikan-Akdagli","given":"S."},{"family":"Denning","given":"D. W."},{"family":"Groll","given":"A. H."},{"family":"Lagrou","given":"K."},{"family":"Lass-Flörl","given":"C."},{"family":"Lewis","given":"R. E."},{"family":"Munoz","given":"P."},{"family":"Verweij","given":"P. E."},{"family":"Warris","given":"A."},{"family":"Ader","given":"F."},{"family":"Akova","given":"M."},{"family":"Arendrup","given":"M. C."},{"family":"Barnes","given":"R. A."},{"family":"Beigelman-Aubry","given":"C."},{"family":"Blot","given":"S."},{"family":"Bouza","given":"E."},{"family":"Brüggemann","given":"R. J. M."},{"family":"Buchheidt","given":"D."},{"family":"Cadranel","given":"J."},{"family":"Castagnola","given":"E."},{"family":"Chakrabarti","given":"A."},{"family":"Cuenca-Estrella","given":"M."},{"family":"Dimopoulos","given":"G."},{"family":"Fortun","given":"J."},{"family":"Gangneux","given":"J.-P."},{"family":"Garbino","given":"J."},{"family":"Heinz","given":"W. J."},{"family":"Herbrecht","given":"R."},{"family":"Heussel","given":"C. P."},{"family":"Kibbler","given":"C. C."},{"family":"Klimko","given":"N."},{"family":"Kullberg","given":"B. J."},{"family":"Lange","given":"C."},{"family":"Lehrnbecher","given":"T."},{"family":"Löffler","given":"J."},{"family":"Lortholary","given":"O."},{"family":"Maertens","given":"J."},{"family":"Marchetti","given":"O."},{"family":"Meis","given":"J. F."},{"family":"Pagano","given":"L."},{"family":"Ribaud","given":"P."},{"family":"Richardson","given":"M."},{"family":"Roilides","given":"E."},{"family":"Ruhnke","given":"M."},{"family":"Sanguinetti","given":"M."},{"family":"Sheppard","given":"D. C."},{"family":"Sinkó","given":"J."},{"family":"Skiada","given":"A."},{"family":"Vehreschild","given":"M. J. G. T."},{"family":"Viscoli","given":"C."},{"family":"Cornely","given":"O. A."}],"issued":{"date-parts":[["2018",5,1]]}}}],"schema":"https://github.com/citation-style-language/schema/raw/master/csl-citation.json"} </w:instrText>
      </w:r>
      <w:r w:rsidR="0045789E" w:rsidRPr="009A3DB4">
        <w:fldChar w:fldCharType="separate"/>
      </w:r>
      <w:r w:rsidR="00C6202C">
        <w:rPr>
          <w:rFonts w:ascii="Calibri" w:hAnsi="Calibri" w:cs="Calibri"/>
        </w:rPr>
        <w:t>[6]</w:t>
      </w:r>
      <w:r w:rsidR="0045789E" w:rsidRPr="009A3DB4">
        <w:fldChar w:fldCharType="end"/>
      </w:r>
      <w:r w:rsidRPr="009A3DB4">
        <w:t>. Therefore, EMA recommended us</w:t>
      </w:r>
      <w:r w:rsidR="00DF1A24" w:rsidRPr="009A3DB4">
        <w:t>ing</w:t>
      </w:r>
      <w:r w:rsidRPr="009A3DB4">
        <w:t xml:space="preserve"> 3.75</w:t>
      </w:r>
      <w:r w:rsidR="00DF1A24" w:rsidRPr="009A3DB4">
        <w:t> </w:t>
      </w:r>
      <w:r w:rsidRPr="009A3DB4">
        <w:t xml:space="preserve">mg/L as a surrogate </w:t>
      </w:r>
      <w:proofErr w:type="spellStart"/>
      <w:r w:rsidR="005615F7" w:rsidRPr="009A3DB4">
        <w:t>C</w:t>
      </w:r>
      <w:r w:rsidR="005615F7" w:rsidRPr="009A3DB4">
        <w:rPr>
          <w:vertAlign w:val="subscript"/>
        </w:rPr>
        <w:t>min</w:t>
      </w:r>
      <w:proofErr w:type="spellEnd"/>
      <w:r w:rsidR="005615F7" w:rsidRPr="009A3DB4">
        <w:t xml:space="preserve"> </w:t>
      </w:r>
      <w:r w:rsidRPr="009A3DB4">
        <w:t>target for toxicity during development of the new tablet and IV formulation</w:t>
      </w:r>
      <w:r w:rsidR="00BE1692" w:rsidRPr="009A3DB4">
        <w:t xml:space="preserve"> </w:t>
      </w:r>
      <w:r w:rsidR="00BE1692" w:rsidRPr="009A3DB4">
        <w:fldChar w:fldCharType="begin"/>
      </w:r>
      <w:r w:rsidR="00C6202C">
        <w:instrText xml:space="preserve"> ADDIN ZOTERO_ITEM CSL_CITATION {"citationID":"i4yyZiT9","properties":{"formattedCitation":"[10]","plainCitation":"[10]","noteIndex":0},"citationItems":[{"id":10734,"uris":["http://zotero.org/users/7911495/items/8VMFVIWS",["http://zotero.org/users/7911495/items/8VMFVIWS"],["http://zotero.org/users/7911495/items/8VMFVIWS",["http://zotero.org/users/7911495/items/8VMFVIWS"]]],"itemData":{"id":10734,"type":"document","title":"noxafil-epar-product-information_en.pdf","URL":"https://www.ema.europa.eu/en/documents/product-information/noxafil-epar-product-information_en.pdf","accessed":{"date-parts":[["2022",12,6]]}}}],"schema":"https://github.com/citation-style-language/schema/raw/master/csl-citation.json"} </w:instrText>
      </w:r>
      <w:r w:rsidR="00BE1692" w:rsidRPr="009A3DB4">
        <w:fldChar w:fldCharType="separate"/>
      </w:r>
      <w:r w:rsidR="00C6202C">
        <w:rPr>
          <w:rFonts w:ascii="Calibri" w:hAnsi="Calibri" w:cs="Calibri"/>
        </w:rPr>
        <w:t>[10]</w:t>
      </w:r>
      <w:r w:rsidR="00BE1692" w:rsidRPr="009A3DB4">
        <w:fldChar w:fldCharType="end"/>
      </w:r>
      <w:r w:rsidRPr="009A3DB4">
        <w:t xml:space="preserve">. </w:t>
      </w:r>
      <w:r w:rsidR="000159EB" w:rsidRPr="009A3DB4">
        <w:rPr>
          <w:rFonts w:cstheme="minorHAnsi"/>
          <w:color w:val="212121"/>
          <w:shd w:val="clear" w:color="auto" w:fill="FFFFFF"/>
        </w:rPr>
        <w:t>The safety of our optimized posaconazole dosing regimen should be further assessed in a prospective clinical trial</w:t>
      </w:r>
      <w:r w:rsidR="000159EB">
        <w:rPr>
          <w:rFonts w:cstheme="minorHAnsi"/>
          <w:color w:val="212121"/>
          <w:shd w:val="clear" w:color="auto" w:fill="FFFFFF"/>
        </w:rPr>
        <w:t xml:space="preserve">, yet, </w:t>
      </w:r>
      <w:r w:rsidR="000159EB">
        <w:rPr>
          <w:color w:val="212121"/>
          <w:u w:color="212121"/>
          <w:shd w:val="clear" w:color="auto" w:fill="FFFFFF"/>
        </w:rPr>
        <w:t>c</w:t>
      </w:r>
      <w:r w:rsidR="00D47B98" w:rsidRPr="009A3DB4">
        <w:rPr>
          <w:color w:val="212121"/>
          <w:u w:color="212121"/>
          <w:shd w:val="clear" w:color="auto" w:fill="FFFFFF"/>
        </w:rPr>
        <w:t xml:space="preserve">onsidering the high mortality of invasive aspergillosis in critically ill patients, we </w:t>
      </w:r>
      <w:r w:rsidR="00EB3FA1">
        <w:rPr>
          <w:color w:val="212121"/>
          <w:u w:color="212121"/>
          <w:shd w:val="clear" w:color="auto" w:fill="FFFFFF"/>
        </w:rPr>
        <w:t>believe</w:t>
      </w:r>
      <w:r w:rsidR="00EB3FA1" w:rsidRPr="009A3DB4">
        <w:rPr>
          <w:color w:val="212121"/>
          <w:u w:color="212121"/>
          <w:shd w:val="clear" w:color="auto" w:fill="FFFFFF"/>
        </w:rPr>
        <w:t xml:space="preserve"> </w:t>
      </w:r>
      <w:r w:rsidR="00D47B98" w:rsidRPr="009A3DB4">
        <w:rPr>
          <w:color w:val="212121"/>
          <w:u w:color="212121"/>
          <w:shd w:val="clear" w:color="auto" w:fill="FFFFFF"/>
        </w:rPr>
        <w:t>that the benefit of early target attainment is clinically more desirable compared with the small risk of increased toxicity</w:t>
      </w:r>
      <w:r w:rsidRPr="009A3DB4">
        <w:rPr>
          <w:rFonts w:cstheme="minorHAnsi"/>
          <w:color w:val="212121"/>
          <w:shd w:val="clear" w:color="auto" w:fill="FFFFFF"/>
        </w:rPr>
        <w:t>.</w:t>
      </w:r>
    </w:p>
    <w:p w14:paraId="61C34B01" w14:textId="7CA00758" w:rsidR="00C273D0" w:rsidRPr="009A3DB4" w:rsidRDefault="00BA2ADB" w:rsidP="00C273D0">
      <w:pPr>
        <w:spacing w:line="480" w:lineRule="auto"/>
        <w:jc w:val="both"/>
        <w:rPr>
          <w:rFonts w:cstheme="minorHAnsi"/>
        </w:rPr>
      </w:pPr>
      <w:r w:rsidRPr="009A3DB4">
        <w:rPr>
          <w:rFonts w:cstheme="minorHAnsi"/>
          <w:color w:val="212121"/>
          <w:shd w:val="clear" w:color="auto" w:fill="FFFFFF"/>
        </w:rPr>
        <w:t xml:space="preserve">The PK of posaconazole in critically ill patients was best described by a two-compartment model with first-order elimination. </w:t>
      </w:r>
      <w:r w:rsidR="000159EB">
        <w:rPr>
          <w:rFonts w:cstheme="minorHAnsi"/>
          <w:color w:val="212121"/>
          <w:shd w:val="clear" w:color="auto" w:fill="FFFFFF"/>
        </w:rPr>
        <w:t>B</w:t>
      </w:r>
      <w:r w:rsidRPr="009A3DB4">
        <w:rPr>
          <w:rFonts w:cstheme="minorHAnsi"/>
          <w:color w:val="212121"/>
          <w:shd w:val="clear" w:color="auto" w:fill="FFFFFF"/>
        </w:rPr>
        <w:t xml:space="preserve">odyweight </w:t>
      </w:r>
      <w:r w:rsidR="000159EB">
        <w:rPr>
          <w:rFonts w:cstheme="minorHAnsi"/>
          <w:color w:val="212121"/>
          <w:shd w:val="clear" w:color="auto" w:fill="FFFFFF"/>
        </w:rPr>
        <w:t>significantly impacted</w:t>
      </w:r>
      <w:r w:rsidRPr="009A3DB4">
        <w:rPr>
          <w:rFonts w:cstheme="minorHAnsi"/>
          <w:color w:val="212121"/>
          <w:shd w:val="clear" w:color="auto" w:fill="FFFFFF"/>
        </w:rPr>
        <w:t xml:space="preserve"> IIV </w:t>
      </w:r>
      <w:r w:rsidR="000159EB">
        <w:rPr>
          <w:rFonts w:cstheme="minorHAnsi"/>
          <w:color w:val="212121"/>
          <w:shd w:val="clear" w:color="auto" w:fill="FFFFFF"/>
        </w:rPr>
        <w:t>of</w:t>
      </w:r>
      <w:r w:rsidR="000159EB" w:rsidRPr="009A3DB4">
        <w:rPr>
          <w:rFonts w:cstheme="minorHAnsi"/>
          <w:color w:val="212121"/>
          <w:shd w:val="clear" w:color="auto" w:fill="FFFFFF"/>
        </w:rPr>
        <w:t xml:space="preserve"> </w:t>
      </w:r>
      <w:r w:rsidRPr="009A3DB4">
        <w:rPr>
          <w:rFonts w:cstheme="minorHAnsi"/>
          <w:color w:val="212121"/>
          <w:shd w:val="clear" w:color="auto" w:fill="FFFFFF"/>
        </w:rPr>
        <w:t>V</w:t>
      </w:r>
      <w:r w:rsidRPr="009A3DB4">
        <w:rPr>
          <w:rFonts w:cstheme="minorHAnsi"/>
          <w:color w:val="212121"/>
          <w:shd w:val="clear" w:color="auto" w:fill="FFFFFF"/>
          <w:vertAlign w:val="subscript"/>
        </w:rPr>
        <w:t>p</w:t>
      </w:r>
      <w:r w:rsidRPr="009A3DB4">
        <w:rPr>
          <w:rFonts w:cstheme="minorHAnsi"/>
          <w:color w:val="212121"/>
          <w:shd w:val="clear" w:color="auto" w:fill="FFFFFF"/>
        </w:rPr>
        <w:t>, but not</w:t>
      </w:r>
      <w:r w:rsidR="000159EB">
        <w:rPr>
          <w:rFonts w:cstheme="minorHAnsi"/>
          <w:color w:val="212121"/>
          <w:shd w:val="clear" w:color="auto" w:fill="FFFFFF"/>
        </w:rPr>
        <w:t xml:space="preserve"> of</w:t>
      </w:r>
      <w:r w:rsidRPr="009A3DB4">
        <w:rPr>
          <w:rFonts w:cstheme="minorHAnsi"/>
          <w:color w:val="212121"/>
          <w:shd w:val="clear" w:color="auto" w:fill="FFFFFF"/>
        </w:rPr>
        <w:t xml:space="preserve"> V</w:t>
      </w:r>
      <w:r w:rsidRPr="009A3DB4">
        <w:rPr>
          <w:rFonts w:cstheme="minorHAnsi"/>
          <w:color w:val="212121"/>
          <w:shd w:val="clear" w:color="auto" w:fill="FFFFFF"/>
          <w:vertAlign w:val="subscript"/>
        </w:rPr>
        <w:t>c</w:t>
      </w:r>
      <w:r w:rsidRPr="009A3DB4">
        <w:rPr>
          <w:rFonts w:cstheme="minorHAnsi"/>
          <w:color w:val="212121"/>
          <w:shd w:val="clear" w:color="auto" w:fill="FFFFFF"/>
        </w:rPr>
        <w:t xml:space="preserve">. This observation may be attributed to the drug's high lipophilicity, which causes its accumulation in the peripheral volume, and its sensitivity to bodyweight (as a surrogate for peripheral fat). </w:t>
      </w:r>
      <w:r w:rsidR="00F05204" w:rsidRPr="009A3DB4">
        <w:rPr>
          <w:rFonts w:cstheme="minorHAnsi"/>
        </w:rPr>
        <w:t xml:space="preserve">The PK of a single IV posaconazole dose </w:t>
      </w:r>
      <w:r w:rsidR="00F05204">
        <w:rPr>
          <w:rFonts w:cstheme="minorHAnsi"/>
        </w:rPr>
        <w:t xml:space="preserve">was recently investigated </w:t>
      </w:r>
      <w:r w:rsidR="00F05204" w:rsidRPr="009A3DB4">
        <w:rPr>
          <w:rFonts w:cstheme="minorHAnsi"/>
        </w:rPr>
        <w:t xml:space="preserve">in patients with normal to obese bodyweights </w:t>
      </w:r>
      <w:r w:rsidR="00F05204" w:rsidRPr="009A3DB4">
        <w:rPr>
          <w:rFonts w:cstheme="minorHAnsi"/>
        </w:rPr>
        <w:fldChar w:fldCharType="begin"/>
      </w:r>
      <w:r w:rsidR="007E664E">
        <w:rPr>
          <w:rFonts w:cstheme="minorHAnsi"/>
        </w:rPr>
        <w:instrText xml:space="preserve"> ADDIN ZOTERO_ITEM CSL_CITATION {"citationID":"VPhSAGBN","properties":{"formattedCitation":"[19]","plainCitation":"[19]","noteIndex":0},"citationItems":[{"id":12924,"uris":["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itemData":{"id":12924,"type":"article-journal","abstract":"Background\nThe prevalence of obesity has shown a dramatic increase over recent decades. Obesity is associated with underdosing of antimicrobial drugs for prophylaxis and treatment. Posaconazole is a broad-spectrum triazole antifungal drug licensed for prophylaxis and treatment of invasive fungal infections. It is unclear how posaconazole should be dosed in obese patients.\n\nMethods\nWe performed a prospective study investigating the pharmacokinetics of posaconazole in morbidly obese (n = 16) and normal-weight (n = 8) subjects, with a weight ranging between 61.4 and 190 kg, after a 300 or 400 mg IV dose. Population pharmacokinetic modelling was used to assess the effect of body size on posaconazole pharmacokinetics. ClinicalTrials.gov Identifier: NCT03246386.\n\nResults\nTotal body weight best predicted changes in CL and V. Model-based simulations demonstrated that, for treatment of fungal infections, a daily IV dose of 300 mg will result in a PTA of ≥90% in individuals up to 140 kg, after which both twice daily loading and the daily maintenance dose should be increased to 400 mg. For prophylaxis, a 300 mg IV dose is adequate in patients up to 190 kg.\n\nConclusions\nBody size has a significant impact on posaconazole CL and V, resulting in a lower exposure in obese subjects compared with normal-weight subjects. For therapeutic use of posaconazole, a dose increase is required in patients above 140 kg. For prophylaxis, a 300 mg IV dose is adequate. For oral treatment, these recommendations can act as a starting point followed by therapeutic drug monitoring.","container-title":"Journal of Antimicrobial Chemotherapy","DOI":"10.1093/jac/dkz546","ISSN":"0305-7453","issue":"4","journalAbbreviation":"J Antimicrob Chemother","note":"PMID: 31971567\nPMCID: PMC7069473","page":"1006-1013","source":"PubMed Central","title":"Implications for IV posaconazole dosing in the era of obesity","volume":"75","author":[{"family":"Wasmann","given":"Roeland E"},{"family":"Smit","given":"Cornelis"},{"family":"Donselaar","given":"Marieke H","non-dropping-particle":"van"},{"family":"Dongen","given":"Eric P A","non-dropping-particle":"van"},{"family":"Wiezer","given":"René M J"},{"family":"Verweij","given":"Paul E"},{"family":"Burger","given":"David M"},{"family":"Knibbe","given":"Catherijne A J"},{"family":"Brüggemann","given":"Roger J M"}],"issued":{"date-parts":[["2020",4]]}}}],"schema":"https://github.com/citation-style-language/schema/raw/master/csl-citation.json"} </w:instrText>
      </w:r>
      <w:r w:rsidR="00F05204" w:rsidRPr="009A3DB4">
        <w:rPr>
          <w:rFonts w:cstheme="minorHAnsi"/>
        </w:rPr>
        <w:fldChar w:fldCharType="separate"/>
      </w:r>
      <w:r w:rsidR="007E664E">
        <w:rPr>
          <w:rFonts w:ascii="Calibri" w:hAnsi="Calibri" w:cs="Calibri"/>
        </w:rPr>
        <w:t>[19]</w:t>
      </w:r>
      <w:r w:rsidR="00F05204" w:rsidRPr="009A3DB4">
        <w:rPr>
          <w:rFonts w:cstheme="minorHAnsi"/>
        </w:rPr>
        <w:fldChar w:fldCharType="end"/>
      </w:r>
      <w:r w:rsidR="00C273D0" w:rsidRPr="009A3DB4">
        <w:rPr>
          <w:rFonts w:cstheme="minorHAnsi"/>
        </w:rPr>
        <w:t xml:space="preserve">. </w:t>
      </w:r>
      <w:proofErr w:type="gramStart"/>
      <w:r w:rsidR="00C273D0" w:rsidRPr="009A3DB4">
        <w:rPr>
          <w:rFonts w:cstheme="minorHAnsi"/>
        </w:rPr>
        <w:t>Similar to</w:t>
      </w:r>
      <w:proofErr w:type="gramEnd"/>
      <w:r w:rsidR="00C273D0" w:rsidRPr="009A3DB4">
        <w:rPr>
          <w:rFonts w:cstheme="minorHAnsi"/>
        </w:rPr>
        <w:t xml:space="preserve"> our model, a two-compartment model with bodyweight impacting V</w:t>
      </w:r>
      <w:r w:rsidR="00C273D0" w:rsidRPr="009A3DB4">
        <w:rPr>
          <w:rFonts w:cstheme="minorHAnsi"/>
          <w:vertAlign w:val="subscript"/>
        </w:rPr>
        <w:t>p</w:t>
      </w:r>
      <w:r w:rsidR="00F05204">
        <w:rPr>
          <w:rFonts w:cstheme="minorHAnsi"/>
        </w:rPr>
        <w:t xml:space="preserve"> was identified,</w:t>
      </w:r>
      <w:r w:rsidR="004044F6" w:rsidRPr="009A3DB4">
        <w:rPr>
          <w:rFonts w:cstheme="minorHAnsi"/>
        </w:rPr>
        <w:t xml:space="preserve"> </w:t>
      </w:r>
      <w:r w:rsidR="00F05204">
        <w:rPr>
          <w:rFonts w:cstheme="minorHAnsi"/>
        </w:rPr>
        <w:t>suggesting the need to</w:t>
      </w:r>
      <w:r w:rsidR="004044F6" w:rsidRPr="009A3DB4">
        <w:rPr>
          <w:rFonts w:cstheme="minorHAnsi"/>
        </w:rPr>
        <w:t xml:space="preserve"> increase posaconazole dosing for </w:t>
      </w:r>
      <w:r w:rsidR="00F05204">
        <w:rPr>
          <w:rFonts w:cstheme="minorHAnsi"/>
        </w:rPr>
        <w:t xml:space="preserve">patients with </w:t>
      </w:r>
      <w:r w:rsidR="004044F6" w:rsidRPr="009A3DB4">
        <w:rPr>
          <w:rFonts w:cstheme="minorHAnsi"/>
        </w:rPr>
        <w:t>higher bodyweight</w:t>
      </w:r>
      <w:r w:rsidR="00F05204">
        <w:rPr>
          <w:rFonts w:cstheme="minorHAnsi"/>
        </w:rPr>
        <w:t>s</w:t>
      </w:r>
      <w:r w:rsidR="00C273D0" w:rsidRPr="009A3DB4">
        <w:rPr>
          <w:rFonts w:cstheme="minorHAnsi"/>
        </w:rPr>
        <w:t>. Our study is the first popPK study to investigate multiple</w:t>
      </w:r>
      <w:r w:rsidR="006D3FC5" w:rsidRPr="009A3DB4">
        <w:rPr>
          <w:rFonts w:cstheme="minorHAnsi"/>
        </w:rPr>
        <w:t xml:space="preserve"> day</w:t>
      </w:r>
      <w:r w:rsidR="00C273D0" w:rsidRPr="009A3DB4">
        <w:rPr>
          <w:rFonts w:cstheme="minorHAnsi"/>
        </w:rPr>
        <w:t xml:space="preserve"> IV posaconazole dosing in critically ill patients. The only previous popPK study in critically ill patients was in </w:t>
      </w:r>
      <w:r w:rsidR="00364B42" w:rsidRPr="009A3DB4">
        <w:rPr>
          <w:rFonts w:cstheme="minorHAnsi"/>
        </w:rPr>
        <w:t xml:space="preserve">a </w:t>
      </w:r>
      <w:r w:rsidR="00C273D0" w:rsidRPr="009A3DB4">
        <w:rPr>
          <w:rFonts w:cstheme="minorHAnsi"/>
        </w:rPr>
        <w:t>single dose setting</w:t>
      </w:r>
      <w:r w:rsidR="00F05204">
        <w:rPr>
          <w:rFonts w:cstheme="minorHAnsi"/>
        </w:rPr>
        <w:t xml:space="preserve"> </w:t>
      </w:r>
      <w:r w:rsidR="00F05204" w:rsidRPr="009A3DB4">
        <w:rPr>
          <w:rFonts w:cstheme="minorHAnsi"/>
        </w:rPr>
        <w:fldChar w:fldCharType="begin"/>
      </w:r>
      <w:r w:rsidR="007E664E">
        <w:rPr>
          <w:rFonts w:cstheme="minorHAnsi"/>
        </w:rPr>
        <w:instrText xml:space="preserve"> ADDIN ZOTERO_ITEM CSL_CITATION {"citationID":"aubQKi1S","properties":{"formattedCitation":"[20]","plainCitation":"[20]","noteIndex":0},"citationItems":[{"id":888,"uris":["http://zotero.org/users/7911495/items/HHUPT3DU",["http://zotero.org/users/7911495/items/HHUPT3DU"],["http://zotero.org/users/7911495/items/HHUPT3DU",["http://zotero.org/users/7911495/items/HHUPT3DU"]]],"itemData":{"id":888,"type":"article-journal","abstract":"Background: The population pharmacokinetics of total and unbound posaconazole following intravenous administration has not yet been described for the critically ill patient population. The aim of this work was, therefore, to describe the total and unbound population pharmacokinetics of intravenous posaconazole in critically ill patients and identify optimal dosing regimens.\nMethods: This was a prospective observational population pharmacokinetic study in critically ill adult patients with presumed/confirmed invasive fungal infection. A single dose of 300 mg posaconazole was administered intravenously as an add-on to standard antifungal therapy, and serial plasma samples were collected over 48 h. Total and unbound posaconazole concentrations, measured by chromatographic method, were used to develop a population pharmacokinetic model and perform dosing simulations in R using Pmetrics.\nResults: From eight patients, 93 pairs of total and unbound concentrations were measured. A two-compartment linear model with capacity-limited plasma protein binding best described the concentration-time data. Albumin and body mass index (BMI) were included as covariates in the final model. Mean (SD) parameter estimates for the volume of the central compartment (V) and the elimination rate constant were 72 (43) L and 42.1 (23.7) h−1, respectively. Dosing simulations showed that high BMI was associated with a reduced probability of achieving target total and unbound posaconazole concentrations. Low serum albumin concentration was associated with a reduced probability of attaining target total but not unbound posaconazole concentrations.\nConclusions: An important clinical message of this study is that critically ill patients with increased BMI may require larger than approved loading doses of intravenous posaconazole when considering currently recommended dosing targets. Variability in plasma albumin concentration appears unlikely to affect dosing requirements when the assessment is based on unbound concentrations. Where available, therapeutic drug monitoring of unbound concentrations may be useful.","container-title":"Critical Care","DOI":"10.1186/s13054-019-2483-9","ISSN":"1364-8535","issue":"1","journalAbbreviation":"Crit Care","language":"en","page":"205","source":"DOI.org (Crossref)","title":"Population pharmacokinetics of total and unbound concentrations of intravenous posaconazole in adult critically ill patients","volume":"23","author":[{"family":"Sime","given":"Fekade B."},{"family":"Byrne","given":"Catherine J."},{"family":"Parker","given":"Suzanne"},{"family":"Stuart","given":"Janine"},{"family":"Butler","given":"Jenie"},{"family":"Starr","given":"Therese"},{"family":"Pandey","given":"Saurabh"},{"family":"Wallis","given":"Steven C."},{"family":"Lipman","given":"Jeffrey"},{"family":"Roberts","given":"Jason A."}],"issued":{"date-parts":[["2019",12]]}}}],"schema":"https://github.com/citation-style-language/schema/raw/master/csl-citation.json"} </w:instrText>
      </w:r>
      <w:r w:rsidR="00F05204" w:rsidRPr="009A3DB4">
        <w:rPr>
          <w:rFonts w:cstheme="minorHAnsi"/>
        </w:rPr>
        <w:fldChar w:fldCharType="separate"/>
      </w:r>
      <w:r w:rsidR="007E664E">
        <w:rPr>
          <w:rFonts w:ascii="Calibri" w:hAnsi="Calibri" w:cs="Calibri"/>
        </w:rPr>
        <w:t>[20]</w:t>
      </w:r>
      <w:r w:rsidR="00F05204" w:rsidRPr="009A3DB4">
        <w:rPr>
          <w:rFonts w:cstheme="minorHAnsi"/>
        </w:rPr>
        <w:fldChar w:fldCharType="end"/>
      </w:r>
      <w:r w:rsidR="00C273D0" w:rsidRPr="009A3DB4">
        <w:rPr>
          <w:rFonts w:cstheme="minorHAnsi"/>
        </w:rPr>
        <w:t>.</w:t>
      </w:r>
    </w:p>
    <w:p w14:paraId="62B05158" w14:textId="5EF2AB64" w:rsidR="00691D84" w:rsidRPr="009A3DB4" w:rsidRDefault="00B20211" w:rsidP="00691D84">
      <w:pPr>
        <w:spacing w:line="480" w:lineRule="auto"/>
        <w:jc w:val="both"/>
        <w:rPr>
          <w:rFonts w:cstheme="minorHAnsi"/>
          <w:color w:val="212121"/>
          <w:shd w:val="clear" w:color="auto" w:fill="FFFFFF"/>
        </w:rPr>
      </w:pPr>
      <w:r w:rsidRPr="009A3DB4">
        <w:rPr>
          <w:rFonts w:cstheme="minorHAnsi"/>
          <w:color w:val="212121"/>
          <w:shd w:val="clear" w:color="auto" w:fill="FFFFFF"/>
        </w:rPr>
        <w:t>Our study aligns with the recommendation of a 400</w:t>
      </w:r>
      <w:r w:rsidR="005A5844" w:rsidRPr="009A3DB4">
        <w:rPr>
          <w:rFonts w:cstheme="minorHAnsi"/>
          <w:color w:val="212121"/>
          <w:shd w:val="clear" w:color="auto" w:fill="FFFFFF"/>
        </w:rPr>
        <w:t> </w:t>
      </w:r>
      <w:r w:rsidRPr="009A3DB4">
        <w:rPr>
          <w:rFonts w:cstheme="minorHAnsi"/>
          <w:color w:val="212121"/>
          <w:shd w:val="clear" w:color="auto" w:fill="FFFFFF"/>
        </w:rPr>
        <w:t xml:space="preserve">mg maintenance dose for IV posaconazole, as suggested by previous research </w:t>
      </w:r>
      <w:r w:rsidR="00691D84" w:rsidRPr="009A3DB4">
        <w:rPr>
          <w:rFonts w:cstheme="minorHAnsi"/>
          <w:color w:val="212121"/>
          <w:shd w:val="clear" w:color="auto" w:fill="FFFFFF"/>
        </w:rPr>
        <w:fldChar w:fldCharType="begin"/>
      </w:r>
      <w:r w:rsidR="007E664E">
        <w:rPr>
          <w:rFonts w:cstheme="minorHAnsi"/>
          <w:color w:val="212121"/>
          <w:shd w:val="clear" w:color="auto" w:fill="FFFFFF"/>
        </w:rPr>
        <w:instrText xml:space="preserve"> ADDIN ZOTERO_ITEM CSL_CITATION {"citationID":"N4oNXwy3","properties":{"formattedCitation":"[19]","plainCitation":"[19]","noteIndex":0},"citationItems":[{"id":12924,"uris":["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http://zotero.org/users/7911495/items/932LVKTA"]]]]],"itemData":{"id":12924,"type":"article-journal","abstract":"Background\nThe prevalence of obesity has shown a dramatic increase over recent decades. Obesity is associated with underdosing of antimicrobial drugs for prophylaxis and treatment. Posaconazole is a broad-spectrum triazole antifungal drug licensed for prophylaxis and treatment of invasive fungal infections. It is unclear how posaconazole should be dosed in obese patients.\n\nMethods\nWe performed a prospective study investigating the pharmacokinetics of posaconazole in morbidly obese (n = 16) and normal-weight (n = 8) subjects, with a weight ranging between 61.4 and 190 kg, after a 300 or 400 mg IV dose. Population pharmacokinetic modelling was used to assess the effect of body size on posaconazole pharmacokinetics. ClinicalTrials.gov Identifier: NCT03246386.\n\nResults\nTotal body weight best predicted changes in CL and V. Model-based simulations demonstrated that, for treatment of fungal infections, a daily IV dose of 300 mg will result in a PTA of ≥90% in individuals up to 140 kg, after which both twice daily loading and the daily maintenance dose should be increased to 400 mg. For prophylaxis, a 300 mg IV dose is adequate in patients up to 190 kg.\n\nConclusions\nBody size has a significant impact on posaconazole CL and V, resulting in a lower exposure in obese subjects compared with normal-weight subjects. For therapeutic use of posaconazole, a dose increase is required in patients above 140 kg. For prophylaxis, a 300 mg IV dose is adequate. For oral treatment, these recommendations can act as a starting point followed by therapeutic drug monitoring.","container-title":"Journal of Antimicrobial Chemotherapy","DOI":"10.1093/jac/dkz546","ISSN":"0305-7453","issue":"4","journalAbbreviation":"J Antimicrob Chemother","note":"PMID: 31971567\nPMCID: PMC7069473","page":"1006-1013","source":"PubMed Central","title":"Implications for IV posaconazole dosing in the era of obesity","volume":"75","author":[{"family":"Wasmann","given":"Roeland E"},{"family":"Smit","given":"Cornelis"},{"family":"Donselaar","given":"Marieke H","non-dropping-particle":"van"},{"family":"Dongen","given":"Eric P A","non-dropping-particle":"van"},{"family":"Wiezer","given":"René M J"},{"family":"Verweij","given":"Paul E"},{"family":"Burger","given":"David M"},{"family":"Knibbe","given":"Catherijne A J"},{"family":"Brüggemann","given":"Roger J M"}],"issued":{"date-parts":[["2020",4]]}}}],"schema":"https://github.com/citation-style-language/schema/raw/master/csl-citation.json"} </w:instrText>
      </w:r>
      <w:r w:rsidR="00691D84" w:rsidRPr="009A3DB4">
        <w:rPr>
          <w:rFonts w:cstheme="minorHAnsi"/>
          <w:color w:val="212121"/>
          <w:shd w:val="clear" w:color="auto" w:fill="FFFFFF"/>
        </w:rPr>
        <w:fldChar w:fldCharType="separate"/>
      </w:r>
      <w:r w:rsidR="007E664E">
        <w:rPr>
          <w:rFonts w:ascii="Calibri" w:hAnsi="Calibri" w:cs="Calibri"/>
        </w:rPr>
        <w:t>[19]</w:t>
      </w:r>
      <w:r w:rsidR="00691D84" w:rsidRPr="009A3DB4">
        <w:rPr>
          <w:rFonts w:cstheme="minorHAnsi"/>
          <w:color w:val="212121"/>
          <w:shd w:val="clear" w:color="auto" w:fill="FFFFFF"/>
        </w:rPr>
        <w:fldChar w:fldCharType="end"/>
      </w:r>
      <w:r w:rsidR="00691D84" w:rsidRPr="009A3DB4">
        <w:rPr>
          <w:rFonts w:cstheme="minorHAnsi"/>
          <w:color w:val="212121"/>
          <w:shd w:val="clear" w:color="auto" w:fill="FFFFFF"/>
        </w:rPr>
        <w:t xml:space="preserve">. </w:t>
      </w:r>
      <w:r w:rsidRPr="009A3DB4">
        <w:rPr>
          <w:rFonts w:cstheme="minorHAnsi"/>
          <w:color w:val="212121"/>
          <w:shd w:val="clear" w:color="auto" w:fill="FFFFFF"/>
        </w:rPr>
        <w:t>Nevertheless</w:t>
      </w:r>
      <w:r w:rsidR="00691D84" w:rsidRPr="009A3DB4">
        <w:rPr>
          <w:rFonts w:cstheme="minorHAnsi"/>
          <w:color w:val="212121"/>
          <w:shd w:val="clear" w:color="auto" w:fill="FFFFFF"/>
        </w:rPr>
        <w:t xml:space="preserve">, we are aware that this recommendation implies some </w:t>
      </w:r>
      <w:r w:rsidR="00691D84" w:rsidRPr="009A3DB4">
        <w:rPr>
          <w:rFonts w:cstheme="minorHAnsi"/>
          <w:color w:val="212121"/>
          <w:shd w:val="clear" w:color="auto" w:fill="FFFFFF"/>
        </w:rPr>
        <w:lastRenderedPageBreak/>
        <w:t>practical and economic challenges. The IV formulation is marketed as vials containing only 300</w:t>
      </w:r>
      <w:r w:rsidR="005A5844" w:rsidRPr="009A3DB4">
        <w:rPr>
          <w:rFonts w:cstheme="minorHAnsi"/>
          <w:color w:val="212121"/>
          <w:shd w:val="clear" w:color="auto" w:fill="FFFFFF"/>
        </w:rPr>
        <w:t> </w:t>
      </w:r>
      <w:r w:rsidR="00691D84" w:rsidRPr="009A3DB4">
        <w:rPr>
          <w:rFonts w:cstheme="minorHAnsi"/>
          <w:color w:val="212121"/>
          <w:shd w:val="clear" w:color="auto" w:fill="FFFFFF"/>
        </w:rPr>
        <w:t>mg of posaconazole</w:t>
      </w:r>
      <w:r w:rsidR="00DF1A24" w:rsidRPr="009A3DB4">
        <w:rPr>
          <w:rFonts w:cstheme="minorHAnsi"/>
          <w:color w:val="212121"/>
          <w:shd w:val="clear" w:color="auto" w:fill="FFFFFF"/>
        </w:rPr>
        <w:t>,</w:t>
      </w:r>
      <w:r w:rsidR="00691D84" w:rsidRPr="009A3DB4">
        <w:rPr>
          <w:rFonts w:cstheme="minorHAnsi"/>
          <w:color w:val="212121"/>
          <w:shd w:val="clear" w:color="auto" w:fill="FFFFFF"/>
        </w:rPr>
        <w:t xml:space="preserve"> aligning with the standard loading and maintenance dose. With our</w:t>
      </w:r>
      <w:r w:rsidR="00F1089F">
        <w:rPr>
          <w:rFonts w:cstheme="minorHAnsi"/>
          <w:color w:val="212121"/>
          <w:shd w:val="clear" w:color="auto" w:fill="FFFFFF"/>
        </w:rPr>
        <w:t xml:space="preserve"> proposed</w:t>
      </w:r>
      <w:r w:rsidR="00691D84" w:rsidRPr="009A3DB4">
        <w:rPr>
          <w:rFonts w:cstheme="minorHAnsi"/>
          <w:color w:val="212121"/>
          <w:shd w:val="clear" w:color="auto" w:fill="FFFFFF"/>
        </w:rPr>
        <w:t xml:space="preserve"> optimized maintenance dose of 400</w:t>
      </w:r>
      <w:r w:rsidR="00F1089F">
        <w:rPr>
          <w:rFonts w:cstheme="minorHAnsi"/>
          <w:color w:val="212121"/>
          <w:shd w:val="clear" w:color="auto" w:fill="FFFFFF"/>
        </w:rPr>
        <w:t> </w:t>
      </w:r>
      <w:r w:rsidR="00691D84" w:rsidRPr="009A3DB4">
        <w:rPr>
          <w:rFonts w:cstheme="minorHAnsi"/>
          <w:color w:val="212121"/>
          <w:shd w:val="clear" w:color="auto" w:fill="FFFFFF"/>
        </w:rPr>
        <w:t xml:space="preserve">mg </w:t>
      </w:r>
      <w:r w:rsidR="00071073" w:rsidRPr="009A3DB4">
        <w:rPr>
          <w:rFonts w:cstheme="minorHAnsi"/>
          <w:color w:val="212121"/>
          <w:shd w:val="clear" w:color="auto" w:fill="FFFFFF"/>
        </w:rPr>
        <w:t>q24h</w:t>
      </w:r>
      <w:r w:rsidR="00F1089F">
        <w:rPr>
          <w:rFonts w:cstheme="minorHAnsi"/>
          <w:color w:val="212121"/>
          <w:shd w:val="clear" w:color="auto" w:fill="FFFFFF"/>
        </w:rPr>
        <w:t>,</w:t>
      </w:r>
      <w:r w:rsidR="00691D84" w:rsidRPr="009A3DB4">
        <w:rPr>
          <w:rFonts w:cstheme="minorHAnsi"/>
          <w:color w:val="212121"/>
          <w:shd w:val="clear" w:color="auto" w:fill="FFFFFF"/>
        </w:rPr>
        <w:t xml:space="preserve"> two vials per dos</w:t>
      </w:r>
      <w:r w:rsidR="00262E5A">
        <w:rPr>
          <w:rFonts w:cstheme="minorHAnsi"/>
          <w:color w:val="212121"/>
          <w:shd w:val="clear" w:color="auto" w:fill="FFFFFF"/>
        </w:rPr>
        <w:t>e</w:t>
      </w:r>
      <w:r w:rsidR="00691D84" w:rsidRPr="009A3DB4">
        <w:rPr>
          <w:rFonts w:cstheme="minorHAnsi"/>
          <w:color w:val="212121"/>
          <w:shd w:val="clear" w:color="auto" w:fill="FFFFFF"/>
        </w:rPr>
        <w:t xml:space="preserve"> would be needed, resulting in a potential waste of 200</w:t>
      </w:r>
      <w:r w:rsidR="005A5844" w:rsidRPr="009A3DB4">
        <w:rPr>
          <w:rFonts w:cstheme="minorHAnsi"/>
          <w:color w:val="212121"/>
          <w:shd w:val="clear" w:color="auto" w:fill="FFFFFF"/>
        </w:rPr>
        <w:t> </w:t>
      </w:r>
      <w:r w:rsidR="00691D84" w:rsidRPr="009A3DB4">
        <w:rPr>
          <w:rFonts w:cstheme="minorHAnsi"/>
          <w:color w:val="212121"/>
          <w:shd w:val="clear" w:color="auto" w:fill="FFFFFF"/>
        </w:rPr>
        <w:t>mg per dos</w:t>
      </w:r>
      <w:r w:rsidR="00262E5A">
        <w:rPr>
          <w:rFonts w:cstheme="minorHAnsi"/>
          <w:color w:val="212121"/>
          <w:shd w:val="clear" w:color="auto" w:fill="FFFFFF"/>
        </w:rPr>
        <w:t>e</w:t>
      </w:r>
      <w:r w:rsidR="00691D84" w:rsidRPr="009A3DB4">
        <w:rPr>
          <w:rFonts w:cstheme="minorHAnsi"/>
          <w:color w:val="212121"/>
          <w:shd w:val="clear" w:color="auto" w:fill="FFFFFF"/>
        </w:rPr>
        <w:t>. However, as the (diluted) solution of posaconazole is stable for at least 24</w:t>
      </w:r>
      <w:r w:rsidR="00996DB9">
        <w:rPr>
          <w:rFonts w:cstheme="minorHAnsi"/>
          <w:color w:val="212121"/>
          <w:shd w:val="clear" w:color="auto" w:fill="FFFFFF"/>
        </w:rPr>
        <w:t> </w:t>
      </w:r>
      <w:r w:rsidR="00691D84" w:rsidRPr="009A3DB4">
        <w:rPr>
          <w:rFonts w:cstheme="minorHAnsi"/>
          <w:color w:val="212121"/>
          <w:shd w:val="clear" w:color="auto" w:fill="FFFFFF"/>
        </w:rPr>
        <w:t>hours if stored between 2°C and 8°C, vials can be fractionated with keeping the remaining undiluted solution for the next administration (stability of the undiluted solution confirmed by Merck, personal communication, March</w:t>
      </w:r>
      <w:r w:rsidR="005A5844" w:rsidRPr="009A3DB4">
        <w:rPr>
          <w:rFonts w:cstheme="minorHAnsi"/>
          <w:color w:val="212121"/>
          <w:shd w:val="clear" w:color="auto" w:fill="FFFFFF"/>
        </w:rPr>
        <w:t> </w:t>
      </w:r>
      <w:r w:rsidR="00691D84" w:rsidRPr="009A3DB4">
        <w:rPr>
          <w:rFonts w:cstheme="minorHAnsi"/>
          <w:color w:val="212121"/>
          <w:shd w:val="clear" w:color="auto" w:fill="FFFFFF"/>
        </w:rPr>
        <w:t>2023)</w:t>
      </w:r>
      <w:r w:rsidR="00691D84" w:rsidRPr="009A3DB4">
        <w:t>.</w:t>
      </w:r>
      <w:r w:rsidR="00691D84" w:rsidRPr="009A3DB4">
        <w:rPr>
          <w:rFonts w:cstheme="minorHAnsi"/>
          <w:color w:val="212121"/>
          <w:shd w:val="clear" w:color="auto" w:fill="FFFFFF"/>
        </w:rPr>
        <w:t xml:space="preserve"> </w:t>
      </w:r>
      <w:r w:rsidR="007B54BA" w:rsidRPr="009A3DB4">
        <w:rPr>
          <w:rFonts w:cstheme="minorHAnsi"/>
          <w:color w:val="212121"/>
          <w:shd w:val="clear" w:color="auto" w:fill="FFFFFF"/>
        </w:rPr>
        <w:t xml:space="preserve">We did not evaluate </w:t>
      </w:r>
      <w:r w:rsidR="00CD1974" w:rsidRPr="009A3DB4">
        <w:rPr>
          <w:rFonts w:cstheme="minorHAnsi"/>
          <w:color w:val="212121"/>
          <w:shd w:val="clear" w:color="auto" w:fill="FFFFFF"/>
        </w:rPr>
        <w:t xml:space="preserve">q12h </w:t>
      </w:r>
      <w:r w:rsidR="007B54BA" w:rsidRPr="009A3DB4">
        <w:rPr>
          <w:rFonts w:cstheme="minorHAnsi"/>
          <w:color w:val="212121"/>
          <w:shd w:val="clear" w:color="auto" w:fill="FFFFFF"/>
        </w:rPr>
        <w:t xml:space="preserve">maintenance dosing as </w:t>
      </w:r>
      <w:r w:rsidR="003E3CAA" w:rsidRPr="009A3DB4">
        <w:rPr>
          <w:rFonts w:cstheme="minorHAnsi"/>
          <w:color w:val="212121"/>
          <w:shd w:val="clear" w:color="auto" w:fill="FFFFFF"/>
        </w:rPr>
        <w:t>q24h</w:t>
      </w:r>
      <w:r w:rsidR="007B54BA" w:rsidRPr="009A3DB4">
        <w:rPr>
          <w:rFonts w:cstheme="minorHAnsi"/>
          <w:color w:val="212121"/>
          <w:shd w:val="clear" w:color="auto" w:fill="FFFFFF"/>
        </w:rPr>
        <w:t xml:space="preserve"> dosing is more practical, requir</w:t>
      </w:r>
      <w:r w:rsidR="00B17AF1" w:rsidRPr="009A3DB4">
        <w:rPr>
          <w:rFonts w:cstheme="minorHAnsi"/>
          <w:color w:val="212121"/>
          <w:shd w:val="clear" w:color="auto" w:fill="FFFFFF"/>
        </w:rPr>
        <w:t>es</w:t>
      </w:r>
      <w:r w:rsidR="007B54BA" w:rsidRPr="009A3DB4">
        <w:rPr>
          <w:rFonts w:cstheme="minorHAnsi"/>
          <w:color w:val="212121"/>
          <w:shd w:val="clear" w:color="auto" w:fill="FFFFFF"/>
        </w:rPr>
        <w:t xml:space="preserve"> fewer manipulations, and occup</w:t>
      </w:r>
      <w:r w:rsidR="00B17AF1" w:rsidRPr="009A3DB4">
        <w:rPr>
          <w:rFonts w:cstheme="minorHAnsi"/>
          <w:color w:val="212121"/>
          <w:shd w:val="clear" w:color="auto" w:fill="FFFFFF"/>
        </w:rPr>
        <w:t>ies</w:t>
      </w:r>
      <w:r w:rsidR="003E3CAA" w:rsidRPr="009A3DB4">
        <w:rPr>
          <w:rFonts w:cstheme="minorHAnsi"/>
          <w:color w:val="212121"/>
          <w:shd w:val="clear" w:color="auto" w:fill="FFFFFF"/>
        </w:rPr>
        <w:t xml:space="preserve"> the</w:t>
      </w:r>
      <w:r w:rsidR="007B54BA" w:rsidRPr="009A3DB4">
        <w:rPr>
          <w:rFonts w:cstheme="minorHAnsi"/>
          <w:color w:val="212121"/>
          <w:shd w:val="clear" w:color="auto" w:fill="FFFFFF"/>
        </w:rPr>
        <w:t xml:space="preserve"> cathe</w:t>
      </w:r>
      <w:r w:rsidR="003E3CAA" w:rsidRPr="009A3DB4">
        <w:rPr>
          <w:rFonts w:cstheme="minorHAnsi"/>
          <w:color w:val="212121"/>
          <w:shd w:val="clear" w:color="auto" w:fill="FFFFFF"/>
        </w:rPr>
        <w:t>t</w:t>
      </w:r>
      <w:r w:rsidR="00AD49F6" w:rsidRPr="009A3DB4">
        <w:rPr>
          <w:rFonts w:cstheme="minorHAnsi"/>
          <w:color w:val="212121"/>
          <w:shd w:val="clear" w:color="auto" w:fill="FFFFFF"/>
        </w:rPr>
        <w:t>e</w:t>
      </w:r>
      <w:r w:rsidR="003E3CAA" w:rsidRPr="009A3DB4">
        <w:rPr>
          <w:rFonts w:cstheme="minorHAnsi"/>
          <w:color w:val="212121"/>
          <w:shd w:val="clear" w:color="auto" w:fill="FFFFFF"/>
        </w:rPr>
        <w:t>r line for less time</w:t>
      </w:r>
      <w:r w:rsidR="007B54BA" w:rsidRPr="009A3DB4">
        <w:rPr>
          <w:rFonts w:cstheme="minorHAnsi"/>
          <w:color w:val="212121"/>
          <w:shd w:val="clear" w:color="auto" w:fill="FFFFFF"/>
        </w:rPr>
        <w:t>.</w:t>
      </w:r>
    </w:p>
    <w:p w14:paraId="0BDF38F8" w14:textId="373627E3" w:rsidR="00C42E4F" w:rsidRPr="00772AC9" w:rsidRDefault="00691D84" w:rsidP="00C42E4F">
      <w:pPr>
        <w:spacing w:line="480" w:lineRule="auto"/>
        <w:jc w:val="both"/>
        <w:rPr>
          <w:rFonts w:cstheme="minorHAnsi"/>
          <w:color w:val="212121"/>
          <w:shd w:val="clear" w:color="auto" w:fill="FFFFFF"/>
        </w:rPr>
      </w:pPr>
      <w:r w:rsidRPr="009A3DB4">
        <w:rPr>
          <w:rFonts w:cstheme="minorHAnsi"/>
          <w:color w:val="212121"/>
          <w:shd w:val="clear" w:color="auto" w:fill="FFFFFF"/>
        </w:rPr>
        <w:t>This is the first popPK</w:t>
      </w:r>
      <w:r w:rsidR="00B50895" w:rsidRPr="009A3DB4">
        <w:rPr>
          <w:rFonts w:cstheme="minorHAnsi"/>
          <w:color w:val="212121"/>
          <w:shd w:val="clear" w:color="auto" w:fill="FFFFFF"/>
        </w:rPr>
        <w:t xml:space="preserve"> modeling</w:t>
      </w:r>
      <w:r w:rsidRPr="009A3DB4">
        <w:rPr>
          <w:rFonts w:cstheme="minorHAnsi"/>
          <w:color w:val="212121"/>
          <w:shd w:val="clear" w:color="auto" w:fill="FFFFFF"/>
        </w:rPr>
        <w:t xml:space="preserve"> and simulation study for</w:t>
      </w:r>
      <w:r w:rsidR="00757C33" w:rsidRPr="009A3DB4">
        <w:rPr>
          <w:rFonts w:cstheme="minorHAnsi"/>
          <w:color w:val="212121"/>
          <w:shd w:val="clear" w:color="auto" w:fill="FFFFFF"/>
        </w:rPr>
        <w:t xml:space="preserve"> multi</w:t>
      </w:r>
      <w:r w:rsidR="00C273D0" w:rsidRPr="009A3DB4">
        <w:rPr>
          <w:rFonts w:cstheme="minorHAnsi"/>
          <w:color w:val="212121"/>
          <w:shd w:val="clear" w:color="auto" w:fill="FFFFFF"/>
        </w:rPr>
        <w:t>ple</w:t>
      </w:r>
      <w:r w:rsidR="000611BB" w:rsidRPr="009A3DB4">
        <w:rPr>
          <w:rFonts w:cstheme="minorHAnsi"/>
          <w:color w:val="212121"/>
          <w:shd w:val="clear" w:color="auto" w:fill="FFFFFF"/>
        </w:rPr>
        <w:t xml:space="preserve"> day</w:t>
      </w:r>
      <w:r w:rsidRPr="009A3DB4">
        <w:rPr>
          <w:rFonts w:cstheme="minorHAnsi"/>
          <w:color w:val="212121"/>
          <w:shd w:val="clear" w:color="auto" w:fill="FFFFFF"/>
        </w:rPr>
        <w:t xml:space="preserve"> IV posaconazole</w:t>
      </w:r>
      <w:r w:rsidR="00757C33" w:rsidRPr="009A3DB4">
        <w:rPr>
          <w:rFonts w:cstheme="minorHAnsi"/>
          <w:color w:val="212121"/>
          <w:shd w:val="clear" w:color="auto" w:fill="FFFFFF"/>
        </w:rPr>
        <w:t xml:space="preserve"> dosing</w:t>
      </w:r>
      <w:r w:rsidRPr="009A3DB4">
        <w:rPr>
          <w:rFonts w:cstheme="minorHAnsi"/>
          <w:color w:val="212121"/>
          <w:shd w:val="clear" w:color="auto" w:fill="FFFFFF"/>
        </w:rPr>
        <w:t xml:space="preserve"> in critically ill patients. Our study included rich sampling</w:t>
      </w:r>
      <w:r w:rsidR="00B50895" w:rsidRPr="009A3DB4">
        <w:rPr>
          <w:rFonts w:cstheme="minorHAnsi"/>
          <w:color w:val="212121"/>
          <w:shd w:val="clear" w:color="auto" w:fill="FFFFFF"/>
        </w:rPr>
        <w:t xml:space="preserve"> data</w:t>
      </w:r>
      <w:r w:rsidRPr="009A3DB4">
        <w:rPr>
          <w:rFonts w:cstheme="minorHAnsi"/>
          <w:color w:val="212121"/>
          <w:shd w:val="clear" w:color="auto" w:fill="FFFFFF"/>
        </w:rPr>
        <w:t xml:space="preserve"> on two occasions for each patient, which allowed us to develop a two-compartment </w:t>
      </w:r>
      <w:r w:rsidR="00B50895" w:rsidRPr="009A3DB4">
        <w:rPr>
          <w:rFonts w:cstheme="minorHAnsi"/>
          <w:color w:val="212121"/>
          <w:shd w:val="clear" w:color="auto" w:fill="FFFFFF"/>
        </w:rPr>
        <w:t xml:space="preserve">popPK </w:t>
      </w:r>
      <w:r w:rsidRPr="009A3DB4">
        <w:rPr>
          <w:rFonts w:cstheme="minorHAnsi"/>
          <w:color w:val="212121"/>
          <w:shd w:val="clear" w:color="auto" w:fill="FFFFFF"/>
        </w:rPr>
        <w:t xml:space="preserve">model that adequately describes our data. Our findings are particularly relevant </w:t>
      </w:r>
      <w:r w:rsidR="00E84E68">
        <w:rPr>
          <w:rFonts w:cstheme="minorHAnsi"/>
          <w:color w:val="212121"/>
          <w:shd w:val="clear" w:color="auto" w:fill="FFFFFF"/>
        </w:rPr>
        <w:t>for</w:t>
      </w:r>
      <w:r w:rsidR="00E84E68" w:rsidRPr="009A3DB4">
        <w:rPr>
          <w:rFonts w:cstheme="minorHAnsi"/>
          <w:color w:val="212121"/>
          <w:shd w:val="clear" w:color="auto" w:fill="FFFFFF"/>
        </w:rPr>
        <w:t xml:space="preserve"> </w:t>
      </w:r>
      <w:r w:rsidRPr="009A3DB4">
        <w:rPr>
          <w:rFonts w:cstheme="minorHAnsi"/>
          <w:color w:val="212121"/>
          <w:shd w:val="clear" w:color="auto" w:fill="FFFFFF"/>
        </w:rPr>
        <w:t>the treatment of invasive aspergillosis, a common complication in critically ill patients with</w:t>
      </w:r>
      <w:r w:rsidR="00E84E68">
        <w:rPr>
          <w:rFonts w:cstheme="minorHAnsi"/>
          <w:color w:val="212121"/>
          <w:shd w:val="clear" w:color="auto" w:fill="FFFFFF"/>
        </w:rPr>
        <w:t xml:space="preserve"> severe</w:t>
      </w:r>
      <w:r w:rsidRPr="009A3DB4">
        <w:rPr>
          <w:rFonts w:cstheme="minorHAnsi"/>
          <w:color w:val="212121"/>
          <w:shd w:val="clear" w:color="auto" w:fill="FFFFFF"/>
        </w:rPr>
        <w:t xml:space="preserve"> influenza and COVID-19 infections. </w:t>
      </w:r>
      <w:r w:rsidR="00AD5EA7">
        <w:rPr>
          <w:rFonts w:cstheme="minorHAnsi"/>
          <w:color w:val="212121"/>
          <w:shd w:val="clear" w:color="auto" w:fill="FFFFFF"/>
        </w:rPr>
        <w:t>Nevertheless, t</w:t>
      </w:r>
      <w:r w:rsidRPr="009A3DB4">
        <w:rPr>
          <w:rFonts w:cstheme="minorHAnsi"/>
          <w:color w:val="212121"/>
          <w:shd w:val="clear" w:color="auto" w:fill="FFFFFF"/>
        </w:rPr>
        <w:t xml:space="preserve">here are some limitations to our study. First, </w:t>
      </w:r>
      <w:r w:rsidR="00600CF2">
        <w:rPr>
          <w:rFonts w:cstheme="minorHAnsi"/>
          <w:color w:val="212121"/>
          <w:shd w:val="clear" w:color="auto" w:fill="FFFFFF"/>
        </w:rPr>
        <w:t>for popPK modeling, we relied on PK data from</w:t>
      </w:r>
      <w:r w:rsidRPr="009A3DB4">
        <w:rPr>
          <w:rFonts w:cstheme="minorHAnsi"/>
          <w:color w:val="212121"/>
          <w:shd w:val="clear" w:color="auto" w:fill="FFFFFF"/>
        </w:rPr>
        <w:t xml:space="preserve"> critically ill patients with influenza</w:t>
      </w:r>
      <w:r w:rsidR="00B17314" w:rsidRPr="009A3DB4">
        <w:rPr>
          <w:rFonts w:cstheme="minorHAnsi"/>
          <w:color w:val="212121"/>
          <w:shd w:val="clear" w:color="auto" w:fill="FFFFFF"/>
        </w:rPr>
        <w:t xml:space="preserve"> </w:t>
      </w:r>
      <w:r w:rsidR="00BB7BEC" w:rsidRPr="009A3DB4">
        <w:rPr>
          <w:rFonts w:cstheme="minorHAnsi"/>
          <w:color w:val="212121"/>
          <w:shd w:val="clear" w:color="auto" w:fill="FFFFFF"/>
        </w:rPr>
        <w:t xml:space="preserve">receiving </w:t>
      </w:r>
      <w:r w:rsidR="00B17314" w:rsidRPr="009A3DB4">
        <w:rPr>
          <w:rFonts w:cstheme="minorHAnsi"/>
          <w:color w:val="212121"/>
          <w:shd w:val="clear" w:color="auto" w:fill="FFFFFF"/>
        </w:rPr>
        <w:t>posaconazole to prevent IPA</w:t>
      </w:r>
      <w:r w:rsidR="00D40CDD" w:rsidRPr="009A3DB4">
        <w:rPr>
          <w:rFonts w:cstheme="minorHAnsi"/>
          <w:color w:val="212121"/>
          <w:shd w:val="clear" w:color="auto" w:fill="FFFFFF"/>
        </w:rPr>
        <w:t>. Although the clinical benefit of posaconazole</w:t>
      </w:r>
      <w:r w:rsidR="00996DB9">
        <w:rPr>
          <w:rFonts w:cstheme="minorHAnsi"/>
          <w:color w:val="212121"/>
          <w:shd w:val="clear" w:color="auto" w:fill="FFFFFF"/>
        </w:rPr>
        <w:t xml:space="preserve"> prophylaxis</w:t>
      </w:r>
      <w:r w:rsidR="00600CF2">
        <w:rPr>
          <w:rFonts w:cstheme="minorHAnsi"/>
          <w:color w:val="212121"/>
          <w:shd w:val="clear" w:color="auto" w:fill="FFFFFF"/>
        </w:rPr>
        <w:t xml:space="preserve"> </w:t>
      </w:r>
      <w:r w:rsidR="00D40CDD" w:rsidRPr="009A3DB4">
        <w:rPr>
          <w:rFonts w:cstheme="minorHAnsi"/>
          <w:color w:val="212121"/>
          <w:shd w:val="clear" w:color="auto" w:fill="FFFFFF"/>
        </w:rPr>
        <w:t xml:space="preserve">is not established, </w:t>
      </w:r>
      <w:r w:rsidR="00E84E68">
        <w:rPr>
          <w:rFonts w:cstheme="minorHAnsi"/>
          <w:color w:val="212121"/>
          <w:shd w:val="clear" w:color="auto" w:fill="FFFFFF"/>
        </w:rPr>
        <w:t>the clinical benefit of posaconazole treatment is</w:t>
      </w:r>
      <w:r w:rsidR="00E17F5C">
        <w:rPr>
          <w:rFonts w:cstheme="minorHAnsi"/>
          <w:color w:val="212121"/>
          <w:shd w:val="clear" w:color="auto" w:fill="FFFFFF"/>
        </w:rPr>
        <w:t>.</w:t>
      </w:r>
      <w:r w:rsidR="00E84E68">
        <w:rPr>
          <w:rFonts w:cstheme="minorHAnsi"/>
          <w:color w:val="212121"/>
          <w:shd w:val="clear" w:color="auto" w:fill="FFFFFF"/>
        </w:rPr>
        <w:t xml:space="preserve"> </w:t>
      </w:r>
      <w:r w:rsidR="00E17F5C">
        <w:rPr>
          <w:rFonts w:cstheme="minorHAnsi"/>
          <w:color w:val="212121"/>
          <w:shd w:val="clear" w:color="auto" w:fill="FFFFFF"/>
        </w:rPr>
        <w:t>The</w:t>
      </w:r>
      <w:r w:rsidR="00D40CDD" w:rsidRPr="009A3DB4">
        <w:rPr>
          <w:rFonts w:cstheme="minorHAnsi"/>
          <w:color w:val="212121"/>
          <w:shd w:val="clear" w:color="auto" w:fill="FFFFFF"/>
        </w:rPr>
        <w:t xml:space="preserve"> POSA-FLU </w:t>
      </w:r>
      <w:r w:rsidR="00E17F5C">
        <w:rPr>
          <w:rFonts w:cstheme="minorHAnsi"/>
          <w:color w:val="212121"/>
          <w:shd w:val="clear" w:color="auto" w:fill="FFFFFF"/>
        </w:rPr>
        <w:t>data</w:t>
      </w:r>
      <w:r w:rsidR="00E17F5C" w:rsidRPr="009A3DB4">
        <w:rPr>
          <w:rFonts w:cstheme="minorHAnsi"/>
          <w:color w:val="212121"/>
          <w:shd w:val="clear" w:color="auto" w:fill="FFFFFF"/>
        </w:rPr>
        <w:t xml:space="preserve"> </w:t>
      </w:r>
      <w:r w:rsidR="00D40CDD" w:rsidRPr="009A3DB4">
        <w:rPr>
          <w:rFonts w:cstheme="minorHAnsi"/>
          <w:color w:val="212121"/>
          <w:shd w:val="clear" w:color="auto" w:fill="FFFFFF"/>
        </w:rPr>
        <w:t>provide valuable insight into the PK of posaconazole in critically ill patients, allowing</w:t>
      </w:r>
      <w:r w:rsidR="004E2C8A" w:rsidRPr="009A3DB4">
        <w:rPr>
          <w:rFonts w:cstheme="minorHAnsi"/>
          <w:color w:val="212121"/>
          <w:shd w:val="clear" w:color="auto" w:fill="FFFFFF"/>
        </w:rPr>
        <w:t xml:space="preserve"> for</w:t>
      </w:r>
      <w:r w:rsidR="00D40CDD" w:rsidRPr="009A3DB4">
        <w:rPr>
          <w:rFonts w:cstheme="minorHAnsi"/>
          <w:color w:val="212121"/>
          <w:shd w:val="clear" w:color="auto" w:fill="FFFFFF"/>
        </w:rPr>
        <w:t xml:space="preserve"> </w:t>
      </w:r>
      <w:r w:rsidR="00356F58">
        <w:rPr>
          <w:rFonts w:cstheme="minorHAnsi"/>
          <w:color w:val="212121"/>
          <w:shd w:val="clear" w:color="auto" w:fill="FFFFFF"/>
        </w:rPr>
        <w:t xml:space="preserve">reliable popPK simulations to inform </w:t>
      </w:r>
      <w:r w:rsidR="00D40CDD" w:rsidRPr="009A3DB4">
        <w:rPr>
          <w:rFonts w:cstheme="minorHAnsi"/>
          <w:color w:val="212121"/>
          <w:shd w:val="clear" w:color="auto" w:fill="FFFFFF"/>
        </w:rPr>
        <w:t xml:space="preserve">dose optimization </w:t>
      </w:r>
      <w:r w:rsidR="00996DB9">
        <w:rPr>
          <w:rFonts w:cstheme="minorHAnsi"/>
          <w:color w:val="212121"/>
          <w:shd w:val="clear" w:color="auto" w:fill="FFFFFF"/>
        </w:rPr>
        <w:t>in the on-label</w:t>
      </w:r>
      <w:r w:rsidR="00D40CDD" w:rsidRPr="009A3DB4">
        <w:rPr>
          <w:rFonts w:cstheme="minorHAnsi"/>
          <w:color w:val="212121"/>
          <w:shd w:val="clear" w:color="auto" w:fill="FFFFFF"/>
        </w:rPr>
        <w:t xml:space="preserve"> tr</w:t>
      </w:r>
      <w:r w:rsidR="00E4544D" w:rsidRPr="009A3DB4">
        <w:rPr>
          <w:rFonts w:cstheme="minorHAnsi"/>
          <w:color w:val="212121"/>
          <w:shd w:val="clear" w:color="auto" w:fill="FFFFFF"/>
        </w:rPr>
        <w:t>e</w:t>
      </w:r>
      <w:r w:rsidR="00D40CDD" w:rsidRPr="009A3DB4">
        <w:rPr>
          <w:rFonts w:cstheme="minorHAnsi"/>
          <w:color w:val="212121"/>
          <w:shd w:val="clear" w:color="auto" w:fill="FFFFFF"/>
        </w:rPr>
        <w:t>atment</w:t>
      </w:r>
      <w:r w:rsidR="00996DB9">
        <w:rPr>
          <w:rFonts w:cstheme="minorHAnsi"/>
          <w:color w:val="212121"/>
          <w:shd w:val="clear" w:color="auto" w:fill="FFFFFF"/>
        </w:rPr>
        <w:t xml:space="preserve"> setting</w:t>
      </w:r>
      <w:r w:rsidR="00D40CDD" w:rsidRPr="009A3DB4">
        <w:rPr>
          <w:rFonts w:cstheme="minorHAnsi"/>
          <w:color w:val="212121"/>
          <w:shd w:val="clear" w:color="auto" w:fill="FFFFFF"/>
        </w:rPr>
        <w:t>.</w:t>
      </w:r>
      <w:r w:rsidR="000B689D">
        <w:rPr>
          <w:rFonts w:cstheme="minorHAnsi"/>
          <w:color w:val="212121"/>
          <w:shd w:val="clear" w:color="auto" w:fill="FFFFFF"/>
        </w:rPr>
        <w:t xml:space="preserve"> In other words,</w:t>
      </w:r>
      <w:r w:rsidR="004E2C8A" w:rsidRPr="009A3DB4">
        <w:rPr>
          <w:rFonts w:cstheme="minorHAnsi"/>
          <w:color w:val="212121"/>
          <w:shd w:val="clear" w:color="auto" w:fill="FFFFFF"/>
        </w:rPr>
        <w:t xml:space="preserve"> </w:t>
      </w:r>
      <w:r w:rsidR="000B689D">
        <w:rPr>
          <w:rFonts w:cstheme="minorHAnsi"/>
          <w:color w:val="212121"/>
          <w:shd w:val="clear" w:color="auto" w:fill="FFFFFF"/>
        </w:rPr>
        <w:t>t</w:t>
      </w:r>
      <w:r w:rsidR="007B4B6A" w:rsidRPr="009A3DB4">
        <w:rPr>
          <w:rFonts w:cstheme="minorHAnsi"/>
          <w:color w:val="212121"/>
          <w:shd w:val="clear" w:color="auto" w:fill="FFFFFF"/>
        </w:rPr>
        <w:t xml:space="preserve">he generalizability of our findings enables the extrapolation of dosing recommendations to </w:t>
      </w:r>
      <w:r w:rsidR="000B689D">
        <w:rPr>
          <w:rFonts w:cstheme="minorHAnsi"/>
          <w:color w:val="212121"/>
          <w:shd w:val="clear" w:color="auto" w:fill="FFFFFF"/>
        </w:rPr>
        <w:t xml:space="preserve">a broad population of </w:t>
      </w:r>
      <w:r w:rsidR="007B4B6A" w:rsidRPr="009A3DB4">
        <w:rPr>
          <w:rFonts w:cstheme="minorHAnsi"/>
          <w:color w:val="212121"/>
          <w:shd w:val="clear" w:color="auto" w:fill="FFFFFF"/>
        </w:rPr>
        <w:t>patients admitted to the ICU with invasive aspergillosis.</w:t>
      </w:r>
      <w:r w:rsidR="007B4B6A" w:rsidRPr="009A3DB4" w:rsidDel="007B4B6A">
        <w:rPr>
          <w:rFonts w:cstheme="minorHAnsi"/>
          <w:color w:val="212121"/>
          <w:shd w:val="clear" w:color="auto" w:fill="FFFFFF"/>
        </w:rPr>
        <w:t xml:space="preserve"> </w:t>
      </w:r>
      <w:r w:rsidR="00326D64" w:rsidRPr="009A3DB4">
        <w:rPr>
          <w:rFonts w:cstheme="minorHAnsi"/>
          <w:color w:val="212121"/>
          <w:shd w:val="clear" w:color="auto" w:fill="FFFFFF"/>
        </w:rPr>
        <w:t>Second</w:t>
      </w:r>
      <w:r w:rsidRPr="009A3DB4">
        <w:rPr>
          <w:rFonts w:cstheme="minorHAnsi"/>
          <w:color w:val="212121"/>
          <w:shd w:val="clear" w:color="auto" w:fill="FFFFFF"/>
        </w:rPr>
        <w:t xml:space="preserve">, only </w:t>
      </w:r>
      <w:r w:rsidR="00DF1A24" w:rsidRPr="009A3DB4">
        <w:rPr>
          <w:rFonts w:cstheme="minorHAnsi"/>
          <w:color w:val="212121"/>
          <w:shd w:val="clear" w:color="auto" w:fill="FFFFFF"/>
        </w:rPr>
        <w:t>four</w:t>
      </w:r>
      <w:r w:rsidRPr="009A3DB4">
        <w:rPr>
          <w:rFonts w:cstheme="minorHAnsi"/>
          <w:color w:val="212121"/>
          <w:shd w:val="clear" w:color="auto" w:fill="FFFFFF"/>
        </w:rPr>
        <w:t xml:space="preserve"> patients</w:t>
      </w:r>
      <w:r w:rsidR="0050613B">
        <w:rPr>
          <w:rFonts w:cstheme="minorHAnsi"/>
          <w:color w:val="212121"/>
          <w:shd w:val="clear" w:color="auto" w:fill="FFFFFF"/>
        </w:rPr>
        <w:t xml:space="preserve"> in our modeling dataset</w:t>
      </w:r>
      <w:r w:rsidRPr="009A3DB4">
        <w:rPr>
          <w:rFonts w:cstheme="minorHAnsi"/>
          <w:color w:val="212121"/>
          <w:shd w:val="clear" w:color="auto" w:fill="FFFFFF"/>
        </w:rPr>
        <w:t xml:space="preserve"> weighing </w:t>
      </w:r>
      <w:r w:rsidR="0050613B">
        <w:rPr>
          <w:rFonts w:cstheme="minorHAnsi"/>
          <w:color w:val="212121"/>
          <w:shd w:val="clear" w:color="auto" w:fill="FFFFFF"/>
        </w:rPr>
        <w:t>over</w:t>
      </w:r>
      <w:r w:rsidR="0050613B" w:rsidRPr="009A3DB4">
        <w:rPr>
          <w:rFonts w:cstheme="minorHAnsi"/>
          <w:color w:val="212121"/>
          <w:shd w:val="clear" w:color="auto" w:fill="FFFFFF"/>
        </w:rPr>
        <w:t xml:space="preserve"> </w:t>
      </w:r>
      <w:r w:rsidRPr="009A3DB4">
        <w:rPr>
          <w:rFonts w:cstheme="minorHAnsi"/>
          <w:color w:val="212121"/>
          <w:shd w:val="clear" w:color="auto" w:fill="FFFFFF"/>
        </w:rPr>
        <w:t>100</w:t>
      </w:r>
      <w:r w:rsidR="005A5844" w:rsidRPr="009A3DB4">
        <w:rPr>
          <w:rFonts w:cstheme="minorHAnsi"/>
          <w:color w:val="212121"/>
          <w:shd w:val="clear" w:color="auto" w:fill="FFFFFF"/>
        </w:rPr>
        <w:t> </w:t>
      </w:r>
      <w:r w:rsidRPr="009A3DB4">
        <w:rPr>
          <w:rFonts w:cstheme="minorHAnsi"/>
          <w:color w:val="212121"/>
          <w:shd w:val="clear" w:color="auto" w:fill="FFFFFF"/>
        </w:rPr>
        <w:t>kg.</w:t>
      </w:r>
      <w:r w:rsidR="00144051" w:rsidRPr="009A3DB4">
        <w:rPr>
          <w:rFonts w:cstheme="minorHAnsi"/>
          <w:color w:val="212121"/>
          <w:shd w:val="clear" w:color="auto" w:fill="FFFFFF"/>
        </w:rPr>
        <w:t xml:space="preserve"> </w:t>
      </w:r>
      <w:r w:rsidR="00A87EBB" w:rsidRPr="009A3DB4">
        <w:t xml:space="preserve">A prospective </w:t>
      </w:r>
      <w:r w:rsidR="00144051" w:rsidRPr="009A3DB4">
        <w:t xml:space="preserve">clinical </w:t>
      </w:r>
      <w:r w:rsidR="000D6D84" w:rsidRPr="009A3DB4">
        <w:t>study</w:t>
      </w:r>
      <w:r w:rsidR="00D85AEE" w:rsidRPr="009A3DB4">
        <w:t xml:space="preserve"> </w:t>
      </w:r>
      <w:r w:rsidR="00A87EBB" w:rsidRPr="009A3DB4">
        <w:t xml:space="preserve">is ultimately needed to </w:t>
      </w:r>
      <w:r w:rsidR="003E0C70">
        <w:t>confirm</w:t>
      </w:r>
      <w:r w:rsidR="00A87EBB" w:rsidRPr="009A3DB4">
        <w:t xml:space="preserve"> the impact of the optimized bodyweight-based</w:t>
      </w:r>
      <w:r w:rsidR="003E0C70">
        <w:t xml:space="preserve"> stratified</w:t>
      </w:r>
      <w:r w:rsidR="00A87EBB" w:rsidRPr="009A3DB4">
        <w:t xml:space="preserve"> loading regimen and the flat maintenance dose on</w:t>
      </w:r>
      <w:r w:rsidR="003E0C70">
        <w:t xml:space="preserve"> </w:t>
      </w:r>
      <w:proofErr w:type="spellStart"/>
      <w:r w:rsidR="003E0C70">
        <w:t>C</w:t>
      </w:r>
      <w:r w:rsidR="003E0C70" w:rsidRPr="003E0C70">
        <w:rPr>
          <w:vertAlign w:val="subscript"/>
        </w:rPr>
        <w:t>min</w:t>
      </w:r>
      <w:proofErr w:type="spellEnd"/>
      <w:r w:rsidR="003E0C70">
        <w:t xml:space="preserve"> treatment</w:t>
      </w:r>
      <w:r w:rsidR="00A87EBB" w:rsidRPr="009A3DB4">
        <w:t xml:space="preserve"> target attainment</w:t>
      </w:r>
      <w:r w:rsidR="00844663">
        <w:t>, safety,</w:t>
      </w:r>
      <w:r w:rsidR="00A87EBB" w:rsidRPr="009A3DB4">
        <w:t xml:space="preserve"> </w:t>
      </w:r>
      <w:r w:rsidR="00844663">
        <w:t>and (cost-)effectiveness</w:t>
      </w:r>
      <w:r w:rsidR="003E0C70">
        <w:t xml:space="preserve"> in critically ill patients with </w:t>
      </w:r>
      <w:r w:rsidR="00390738" w:rsidRPr="009A3DB4">
        <w:rPr>
          <w:rFonts w:cstheme="minorHAnsi"/>
          <w:color w:val="212121"/>
          <w:shd w:val="clear" w:color="auto" w:fill="FFFFFF"/>
        </w:rPr>
        <w:t>invasive aspergillosis</w:t>
      </w:r>
      <w:r w:rsidR="00A87EBB" w:rsidRPr="009A3DB4">
        <w:t>.</w:t>
      </w:r>
      <w:r w:rsidR="00C42E4F">
        <w:br w:type="page"/>
      </w:r>
    </w:p>
    <w:p w14:paraId="1EDB88CB" w14:textId="15E31AE3" w:rsidR="006242F6" w:rsidRPr="009A3DB4" w:rsidRDefault="006242F6" w:rsidP="00F14F49">
      <w:pPr>
        <w:pStyle w:val="Heading1"/>
        <w:numPr>
          <w:ilvl w:val="0"/>
          <w:numId w:val="19"/>
        </w:numPr>
      </w:pPr>
      <w:r w:rsidRPr="009A3DB4">
        <w:lastRenderedPageBreak/>
        <w:t>Conclusion</w:t>
      </w:r>
    </w:p>
    <w:p w14:paraId="6C1DD88A" w14:textId="35360159" w:rsidR="005A5844" w:rsidRPr="009A3DB4" w:rsidRDefault="00BA11A9" w:rsidP="005A5844">
      <w:pPr>
        <w:spacing w:line="480" w:lineRule="auto"/>
        <w:jc w:val="both"/>
        <w:rPr>
          <w:rFonts w:cstheme="minorHAnsi"/>
        </w:rPr>
      </w:pPr>
      <w:r w:rsidRPr="009A3DB4">
        <w:rPr>
          <w:rFonts w:cstheme="minorHAnsi"/>
          <w:bCs/>
        </w:rPr>
        <w:t xml:space="preserve">We have identified an optimized weight-based loading regimen and a flat maintenance dose for IV posaconazole </w:t>
      </w:r>
      <w:r w:rsidRPr="009A3DB4">
        <w:rPr>
          <w:rFonts w:cstheme="minorHAnsi"/>
        </w:rPr>
        <w:t xml:space="preserve">that </w:t>
      </w:r>
      <w:r w:rsidRPr="009A3DB4">
        <w:rPr>
          <w:rFonts w:cstheme="minorHAnsi"/>
          <w:bCs/>
        </w:rPr>
        <w:t xml:space="preserve">guarantees </w:t>
      </w:r>
      <w:r w:rsidRPr="009A3DB4">
        <w:rPr>
          <w:rFonts w:cstheme="minorHAnsi"/>
        </w:rPr>
        <w:t xml:space="preserve">attainment of the </w:t>
      </w:r>
      <w:proofErr w:type="spellStart"/>
      <w:r w:rsidRPr="009A3DB4">
        <w:rPr>
          <w:rFonts w:cstheme="minorHAnsi"/>
        </w:rPr>
        <w:t>C</w:t>
      </w:r>
      <w:r w:rsidRPr="009A3DB4">
        <w:rPr>
          <w:rFonts w:cstheme="minorHAnsi"/>
          <w:vertAlign w:val="subscript"/>
        </w:rPr>
        <w:t>min</w:t>
      </w:r>
      <w:proofErr w:type="spellEnd"/>
      <w:r w:rsidRPr="009A3DB4">
        <w:rPr>
          <w:rFonts w:cstheme="minorHAnsi"/>
          <w:vertAlign w:val="subscript"/>
        </w:rPr>
        <w:t xml:space="preserve"> </w:t>
      </w:r>
      <w:r w:rsidRPr="009A3DB4">
        <w:rPr>
          <w:rFonts w:cstheme="minorHAnsi"/>
        </w:rPr>
        <w:t>treatment target</w:t>
      </w:r>
      <w:r w:rsidR="00A7141B" w:rsidRPr="009A3DB4">
        <w:rPr>
          <w:rFonts w:cstheme="minorHAnsi"/>
        </w:rPr>
        <w:t xml:space="preserve"> in critically ill patients</w:t>
      </w:r>
      <w:r w:rsidRPr="009A3DB4">
        <w:rPr>
          <w:rFonts w:cstheme="minorHAnsi"/>
        </w:rPr>
        <w:t xml:space="preserve"> </w:t>
      </w:r>
      <w:r w:rsidR="00A87EBB" w:rsidRPr="009A3DB4">
        <w:rPr>
          <w:rFonts w:cstheme="minorHAnsi"/>
        </w:rPr>
        <w:t xml:space="preserve">with invasive aspergillosis </w:t>
      </w:r>
      <w:r w:rsidRPr="009A3DB4">
        <w:rPr>
          <w:rFonts w:cstheme="minorHAnsi"/>
        </w:rPr>
        <w:t>from the second treatment day onwards.</w:t>
      </w:r>
      <w:r w:rsidR="005A5844" w:rsidRPr="009A3DB4">
        <w:br w:type="page"/>
      </w:r>
    </w:p>
    <w:p w14:paraId="2F5F64CB" w14:textId="2D6A8FDD" w:rsidR="00BE1692" w:rsidRPr="009A3DB4" w:rsidRDefault="00BE1692" w:rsidP="00F14F49">
      <w:pPr>
        <w:pStyle w:val="Heading1"/>
      </w:pPr>
      <w:r w:rsidRPr="009A3DB4">
        <w:lastRenderedPageBreak/>
        <w:t>Declarations</w:t>
      </w:r>
    </w:p>
    <w:p w14:paraId="09179B7F" w14:textId="7A8323D2" w:rsidR="00432067" w:rsidRPr="009A3DB4" w:rsidRDefault="00591B04" w:rsidP="00DC57F4">
      <w:pPr>
        <w:pStyle w:val="Heading2"/>
      </w:pPr>
      <w:r w:rsidRPr="009A3DB4">
        <w:t>Acknowledgments</w:t>
      </w:r>
    </w:p>
    <w:p w14:paraId="412CF9A9" w14:textId="329F2589" w:rsidR="0025352E" w:rsidRPr="009A3DB4" w:rsidRDefault="00432067" w:rsidP="00AF083C">
      <w:pPr>
        <w:spacing w:after="0" w:line="480" w:lineRule="auto"/>
        <w:jc w:val="both"/>
      </w:pPr>
      <w:r w:rsidRPr="009A3DB4">
        <w:rPr>
          <w:rFonts w:cstheme="minorHAnsi"/>
          <w:color w:val="000000"/>
          <w:shd w:val="clear" w:color="auto" w:fill="FFFFFF"/>
        </w:rPr>
        <w:t xml:space="preserve">The resources and services used in this work were provided by the VSC (Flemish Supercomputer Centre), funded by the Research Foundation </w:t>
      </w:r>
      <w:r w:rsidR="005A5844" w:rsidRPr="009A3DB4">
        <w:rPr>
          <w:rFonts w:cstheme="minorHAnsi"/>
          <w:color w:val="000000"/>
          <w:shd w:val="clear" w:color="auto" w:fill="FFFFFF"/>
        </w:rPr>
        <w:t>–</w:t>
      </w:r>
      <w:r w:rsidRPr="009A3DB4">
        <w:rPr>
          <w:rFonts w:cstheme="minorHAnsi"/>
          <w:color w:val="000000"/>
          <w:shd w:val="clear" w:color="auto" w:fill="FFFFFF"/>
        </w:rPr>
        <w:t xml:space="preserve"> Flanders (FWO) and the Flemish Government.</w:t>
      </w:r>
      <w:r w:rsidRPr="009A3DB4">
        <w:t xml:space="preserve"> </w:t>
      </w:r>
      <w:r w:rsidR="004D6636" w:rsidRPr="009A3DB4">
        <w:t xml:space="preserve">The authors thank the patients, their families, and the clinical trial teams at all participating centers for contributing data to the PK </w:t>
      </w:r>
      <w:proofErr w:type="spellStart"/>
      <w:r w:rsidR="004D6636" w:rsidRPr="009A3DB4">
        <w:t>substudy</w:t>
      </w:r>
      <w:proofErr w:type="spellEnd"/>
      <w:r w:rsidR="004D6636" w:rsidRPr="009A3DB4">
        <w:t xml:space="preserve">. The authors thank Lore </w:t>
      </w:r>
      <w:proofErr w:type="spellStart"/>
      <w:r w:rsidR="004D6636" w:rsidRPr="009A3DB4">
        <w:t>Vanderbeke</w:t>
      </w:r>
      <w:proofErr w:type="spellEnd"/>
      <w:r w:rsidR="004D6636" w:rsidRPr="009A3DB4">
        <w:t xml:space="preserve"> and Cato Jacobs for their contributions to the clinical</w:t>
      </w:r>
      <w:r w:rsidR="005A5844" w:rsidRPr="009A3DB4">
        <w:t xml:space="preserve"> </w:t>
      </w:r>
      <w:r w:rsidR="004D6636" w:rsidRPr="009A3DB4">
        <w:t>trial.</w:t>
      </w:r>
    </w:p>
    <w:p w14:paraId="123DB316" w14:textId="64F0BF49" w:rsidR="00FE2D7C" w:rsidRDefault="00977894" w:rsidP="00DC57F4">
      <w:pPr>
        <w:pStyle w:val="Heading2"/>
      </w:pPr>
      <w:r w:rsidRPr="009A3DB4">
        <w:t>Conflicts of interest</w:t>
      </w:r>
    </w:p>
    <w:p w14:paraId="661A2600" w14:textId="77777777" w:rsidR="00EF76C0" w:rsidRDefault="00EF76C0" w:rsidP="00EF76C0">
      <w:pPr>
        <w:spacing w:line="480" w:lineRule="auto"/>
      </w:pPr>
      <w:r>
        <w:t>OE and BM have nothing to disclose.</w:t>
      </w:r>
    </w:p>
    <w:p w14:paraId="1430C18B" w14:textId="77777777" w:rsidR="00EF76C0" w:rsidRDefault="00EF76C0" w:rsidP="00EF76C0">
      <w:pPr>
        <w:spacing w:line="480" w:lineRule="auto"/>
      </w:pPr>
      <w:r>
        <w:t>JW reports investigator-initiated grants from Pfizer, Gilead, and MSD; consulting fees from Pfizer and Gilead; speakers’ fees from Pfizer, Gilead, and MSD; travel fees from Pfizer, Gilead, and MSD; participation in advisory boards of Pfizer and Gilead; receipt of study drugs from MSD; outside the submitted work.</w:t>
      </w:r>
    </w:p>
    <w:p w14:paraId="2D7DA86C" w14:textId="77777777" w:rsidR="00EF76C0" w:rsidRDefault="00EF76C0" w:rsidP="00EF76C0">
      <w:pPr>
        <w:spacing w:line="480" w:lineRule="auto"/>
      </w:pPr>
      <w:r>
        <w:t>YD reports travel support from Pfizer; participation in advisory boards of Pfizer and MSD; outside the submitted work.</w:t>
      </w:r>
    </w:p>
    <w:p w14:paraId="48B2F02E" w14:textId="77777777" w:rsidR="00EF76C0" w:rsidRDefault="00EF76C0" w:rsidP="00EF76C0">
      <w:pPr>
        <w:spacing w:line="480" w:lineRule="auto"/>
      </w:pPr>
      <w:r>
        <w:t>BR reports research grants from Gilead Sciences and F2G and is on the advisory board for F2G; outside the submitted work.</w:t>
      </w:r>
    </w:p>
    <w:p w14:paraId="13B4F05A" w14:textId="77777777" w:rsidR="00EF76C0" w:rsidRDefault="00EF76C0" w:rsidP="00EF76C0">
      <w:pPr>
        <w:spacing w:line="480" w:lineRule="auto"/>
      </w:pPr>
      <w:r>
        <w:t xml:space="preserve">PV reports research grants from </w:t>
      </w:r>
      <w:proofErr w:type="spellStart"/>
      <w:r>
        <w:t>Thermofisher</w:t>
      </w:r>
      <w:proofErr w:type="spellEnd"/>
      <w:r>
        <w:t xml:space="preserve">, MSD, </w:t>
      </w:r>
      <w:proofErr w:type="spellStart"/>
      <w:r>
        <w:t>Glidead</w:t>
      </w:r>
      <w:proofErr w:type="spellEnd"/>
      <w:r>
        <w:t xml:space="preserve"> Sciences, and EORTC and speaker's honoraria for Gilead Sciences, </w:t>
      </w:r>
      <w:proofErr w:type="spellStart"/>
      <w:r>
        <w:t>Mundipharma</w:t>
      </w:r>
      <w:proofErr w:type="spellEnd"/>
      <w:r>
        <w:t>, and Pfizer; outside the submitted work.</w:t>
      </w:r>
    </w:p>
    <w:p w14:paraId="1F7565CB" w14:textId="77777777" w:rsidR="00EF76C0" w:rsidRDefault="00EF76C0" w:rsidP="00EF76C0">
      <w:pPr>
        <w:spacing w:line="480" w:lineRule="auto"/>
      </w:pPr>
      <w:r>
        <w:t xml:space="preserve">RB reports consultancy fees from </w:t>
      </w:r>
      <w:proofErr w:type="spellStart"/>
      <w:r>
        <w:t>Mundipharma</w:t>
      </w:r>
      <w:proofErr w:type="spellEnd"/>
      <w:r>
        <w:t xml:space="preserve">, </w:t>
      </w:r>
      <w:proofErr w:type="spellStart"/>
      <w:r>
        <w:t>Cidara</w:t>
      </w:r>
      <w:proofErr w:type="spellEnd"/>
      <w:r>
        <w:t xml:space="preserve">, </w:t>
      </w:r>
      <w:proofErr w:type="spellStart"/>
      <w:r>
        <w:t>Amplyx</w:t>
      </w:r>
      <w:proofErr w:type="spellEnd"/>
      <w:r>
        <w:t>, F2G, Gilead, Pfizer, and MSD, speaker fees from Pfizer and Gilead; grants from Pfizer, Gilead, and MSD; outside the submitted work.</w:t>
      </w:r>
    </w:p>
    <w:p w14:paraId="75CEDFF4" w14:textId="77777777" w:rsidR="00EF76C0" w:rsidRDefault="00EF76C0" w:rsidP="00EF76C0">
      <w:pPr>
        <w:spacing w:line="480" w:lineRule="auto"/>
      </w:pPr>
      <w:r>
        <w:lastRenderedPageBreak/>
        <w:t xml:space="preserve">IS </w:t>
      </w:r>
      <w:proofErr w:type="spellStart"/>
      <w:r>
        <w:t>is</w:t>
      </w:r>
      <w:proofErr w:type="spellEnd"/>
      <w:r>
        <w:t xml:space="preserve"> supported by the Clinical Research Fund of UZ Leuven and reports consulting fees from Pfizer and </w:t>
      </w:r>
      <w:proofErr w:type="spellStart"/>
      <w:r>
        <w:t>Cidara</w:t>
      </w:r>
      <w:proofErr w:type="spellEnd"/>
      <w:r>
        <w:t>; speakers’ fees from Pfizer; travel support from Pfizer; outside the submitted work.</w:t>
      </w:r>
    </w:p>
    <w:p w14:paraId="162DFA0A" w14:textId="1C729139" w:rsidR="00A16A4D" w:rsidRPr="00A16A4D" w:rsidRDefault="00EF76C0" w:rsidP="00EF76C0">
      <w:pPr>
        <w:spacing w:line="480" w:lineRule="auto"/>
      </w:pPr>
      <w:r>
        <w:t xml:space="preserve">ED received consultancy fees from </w:t>
      </w:r>
      <w:proofErr w:type="spellStart"/>
      <w:r>
        <w:t>argenx</w:t>
      </w:r>
      <w:proofErr w:type="spellEnd"/>
      <w:r>
        <w:t xml:space="preserve"> and Janssen (all honoraria/fees paid to the University); outside the submitted work.</w:t>
      </w:r>
    </w:p>
    <w:p w14:paraId="04C4D090" w14:textId="2B3EC023" w:rsidR="00977894" w:rsidRPr="009A3DB4" w:rsidRDefault="00977894" w:rsidP="00DC57F4">
      <w:pPr>
        <w:pStyle w:val="Heading2"/>
      </w:pPr>
      <w:r w:rsidRPr="009A3DB4">
        <w:t>Funding</w:t>
      </w:r>
    </w:p>
    <w:p w14:paraId="151A7699" w14:textId="599A3C0F" w:rsidR="00977894" w:rsidRPr="009A3DB4" w:rsidRDefault="00791EC6" w:rsidP="00F648C6">
      <w:pPr>
        <w:spacing w:line="480" w:lineRule="auto"/>
      </w:pPr>
      <w:r w:rsidRPr="009A3DB4">
        <w:t>No funding was provided for this study.</w:t>
      </w:r>
    </w:p>
    <w:p w14:paraId="7D998607" w14:textId="77777777" w:rsidR="00BA09AD" w:rsidRPr="009A3DB4" w:rsidRDefault="00BA09AD" w:rsidP="00DC57F4">
      <w:pPr>
        <w:pStyle w:val="Heading2"/>
      </w:pPr>
      <w:r w:rsidRPr="009A3DB4">
        <w:t xml:space="preserve">Ethics approval and consent to </w:t>
      </w:r>
      <w:proofErr w:type="gramStart"/>
      <w:r w:rsidRPr="009A3DB4">
        <w:t>participate</w:t>
      </w:r>
      <w:proofErr w:type="gramEnd"/>
    </w:p>
    <w:p w14:paraId="6E9E54DF" w14:textId="60C76FB3" w:rsidR="00BA09AD" w:rsidRPr="009A3DB4" w:rsidRDefault="00BA09AD" w:rsidP="00BA09AD">
      <w:pPr>
        <w:autoSpaceDE w:val="0"/>
        <w:autoSpaceDN w:val="0"/>
        <w:adjustRightInd w:val="0"/>
        <w:spacing w:after="0" w:line="480" w:lineRule="auto"/>
        <w:rPr>
          <w:rFonts w:cstheme="minorHAnsi"/>
        </w:rPr>
      </w:pPr>
      <w:r w:rsidRPr="009A3DB4">
        <w:rPr>
          <w:rFonts w:cstheme="minorHAnsi"/>
        </w:rPr>
        <w:t xml:space="preserve">This project is a secondary use of clinical trial data (POSA-FLU), </w:t>
      </w:r>
      <w:proofErr w:type="gramStart"/>
      <w:r w:rsidRPr="009A3DB4">
        <w:rPr>
          <w:rFonts w:cstheme="minorHAnsi"/>
        </w:rPr>
        <w:t>All of</w:t>
      </w:r>
      <w:proofErr w:type="gramEnd"/>
      <w:r w:rsidRPr="009A3DB4">
        <w:rPr>
          <w:rFonts w:cstheme="minorHAnsi"/>
        </w:rPr>
        <w:t xml:space="preserve"> this study procedures were performed in compliance with the principles of the Declaration of Helsinki, the principles of good clinical practice and in accordance with all applicable regulatory requirements. The study protocol was approved by the ethical committee of all participating centers in Belgium and France and by the independent ethical committee Arnhem-Nijmegen for all </w:t>
      </w:r>
      <w:r w:rsidR="005A5844" w:rsidRPr="009A3DB4">
        <w:rPr>
          <w:rFonts w:cstheme="minorHAnsi"/>
        </w:rPr>
        <w:t>five</w:t>
      </w:r>
      <w:r w:rsidRPr="009A3DB4">
        <w:rPr>
          <w:rFonts w:cstheme="minorHAnsi"/>
        </w:rPr>
        <w:t xml:space="preserve"> participating Dutch sites (CMO 2018-4041).</w:t>
      </w:r>
    </w:p>
    <w:p w14:paraId="5D09C760" w14:textId="1A77FE2A" w:rsidR="00BA09AD" w:rsidRPr="009A3DB4" w:rsidRDefault="00BA09AD" w:rsidP="00DC57F4">
      <w:pPr>
        <w:pStyle w:val="Heading2"/>
      </w:pPr>
      <w:r w:rsidRPr="009A3DB4">
        <w:t>Consent of publication</w:t>
      </w:r>
    </w:p>
    <w:p w14:paraId="24A07685" w14:textId="0B8024DF" w:rsidR="006242F6" w:rsidRPr="009A3DB4" w:rsidRDefault="00BA09AD" w:rsidP="009B5AD4">
      <w:pPr>
        <w:spacing w:line="480" w:lineRule="auto"/>
        <w:rPr>
          <w:rFonts w:cstheme="minorHAnsi"/>
        </w:rPr>
      </w:pPr>
      <w:r w:rsidRPr="009A3DB4">
        <w:rPr>
          <w:rFonts w:cstheme="minorHAnsi"/>
          <w:color w:val="131413"/>
        </w:rPr>
        <w:t>Not applicable</w:t>
      </w:r>
      <w:r w:rsidR="006242F6" w:rsidRPr="009A3DB4">
        <w:br w:type="page"/>
      </w:r>
    </w:p>
    <w:p w14:paraId="66D68463" w14:textId="72E09F0F" w:rsidR="00A518E9" w:rsidRPr="009A3DB4" w:rsidRDefault="00A518E9" w:rsidP="00F14F49">
      <w:pPr>
        <w:pStyle w:val="Heading1"/>
      </w:pPr>
      <w:r w:rsidRPr="009A3DB4">
        <w:lastRenderedPageBreak/>
        <w:t>References</w:t>
      </w:r>
    </w:p>
    <w:p w14:paraId="502E2D9F" w14:textId="77777777" w:rsidR="007E664E" w:rsidRPr="007E664E" w:rsidRDefault="00757C33" w:rsidP="007E664E">
      <w:pPr>
        <w:pStyle w:val="Bibliography"/>
        <w:rPr>
          <w:rFonts w:ascii="Calibri" w:cs="Calibri"/>
        </w:rPr>
      </w:pPr>
      <w:r w:rsidRPr="009A3DB4">
        <w:rPr>
          <w:rFonts w:ascii="Calibri" w:hAnsi="Calibri" w:cs="Calibri"/>
        </w:rPr>
        <w:fldChar w:fldCharType="begin"/>
      </w:r>
      <w:r w:rsidR="00C6202C">
        <w:rPr>
          <w:rFonts w:ascii="Calibri" w:hAnsi="Calibri" w:cs="Calibri"/>
        </w:rPr>
        <w:instrText xml:space="preserve"> ADDIN ZOTERO_BIBL {"uncited":[],"omitted":[],"custom":[]} CSL_BIBLIOGRAPHY </w:instrText>
      </w:r>
      <w:r w:rsidRPr="009A3DB4">
        <w:rPr>
          <w:rFonts w:ascii="Calibri" w:hAnsi="Calibri" w:cs="Calibri"/>
        </w:rPr>
        <w:fldChar w:fldCharType="separate"/>
      </w:r>
      <w:r w:rsidR="007E664E" w:rsidRPr="007E664E">
        <w:rPr>
          <w:rFonts w:ascii="Calibri" w:cs="Calibri"/>
        </w:rPr>
        <w:t>[1]</w:t>
      </w:r>
      <w:r w:rsidR="007E664E" w:rsidRPr="007E664E">
        <w:rPr>
          <w:rFonts w:ascii="Calibri" w:cs="Calibri"/>
        </w:rPr>
        <w:tab/>
        <w:t>Schauwvlieghe AFAD, Rijnders BJA, Philips N, Verwijs R, Vanderbeke L, Van Tienen C, et al. Invasive aspergillosis in patients admitted to the intensive care unit with severe influenza: a retrospective cohort study. Lancet Respir Med 2018;6:782–92. https://doi.org/10.1016/S2213-2600(18)30274-1.</w:t>
      </w:r>
    </w:p>
    <w:p w14:paraId="1699198F" w14:textId="77777777" w:rsidR="007E664E" w:rsidRPr="007E664E" w:rsidRDefault="007E664E" w:rsidP="007E664E">
      <w:pPr>
        <w:pStyle w:val="Bibliography"/>
        <w:rPr>
          <w:rFonts w:ascii="Calibri" w:cs="Calibri"/>
        </w:rPr>
      </w:pPr>
      <w:r w:rsidRPr="007E664E">
        <w:rPr>
          <w:rFonts w:ascii="Calibri" w:cs="Calibri"/>
        </w:rPr>
        <w:t>[2]</w:t>
      </w:r>
      <w:r w:rsidRPr="007E664E">
        <w:rPr>
          <w:rFonts w:ascii="Calibri" w:cs="Calibri"/>
        </w:rPr>
        <w:tab/>
        <w:t>Feys S, Almyroudi MP, Braspenning R, Lagrou K, Spriet I, Dimopoulos G, et al. A Visual and Comprehensive Review on COVID-19-Associated Pulmonary Aspergillosis (CAPA). J Fungi 2021;7:1067. https://doi.org/10.3390/jof7121067.</w:t>
      </w:r>
    </w:p>
    <w:p w14:paraId="0A7652E7" w14:textId="77777777" w:rsidR="007E664E" w:rsidRPr="007E664E" w:rsidRDefault="007E664E" w:rsidP="007E664E">
      <w:pPr>
        <w:pStyle w:val="Bibliography"/>
        <w:rPr>
          <w:rFonts w:ascii="Calibri" w:cs="Calibri"/>
        </w:rPr>
      </w:pPr>
      <w:r w:rsidRPr="007E664E">
        <w:rPr>
          <w:rFonts w:ascii="Calibri" w:cs="Calibri"/>
        </w:rPr>
        <w:t>[3]</w:t>
      </w:r>
      <w:r w:rsidRPr="007E664E">
        <w:rPr>
          <w:rFonts w:ascii="Calibri" w:cs="Calibri"/>
        </w:rPr>
        <w:tab/>
        <w:t>Sun QN, Fothergill AW, McCarthy DI, Rinaldi MG, Graybill JR. In Vitro Activities of Posaconazole, Itraconazole, Voriconazole, Amphotericin B, and Fluconazole against 37 Clinical Isolates of Zygomycetes. Antimicrob Agents Chemother 2002;46:1581–2. https://doi.org/10.1128/AAC.46.5.1581-1582.2002.</w:t>
      </w:r>
    </w:p>
    <w:p w14:paraId="7857141F" w14:textId="77777777" w:rsidR="007E664E" w:rsidRPr="007E664E" w:rsidRDefault="007E664E" w:rsidP="007E664E">
      <w:pPr>
        <w:pStyle w:val="Bibliography"/>
        <w:rPr>
          <w:rFonts w:ascii="Calibri" w:cs="Calibri"/>
        </w:rPr>
      </w:pPr>
      <w:r w:rsidRPr="007E664E">
        <w:rPr>
          <w:rFonts w:ascii="Calibri" w:cs="Calibri"/>
        </w:rPr>
        <w:t>[4]</w:t>
      </w:r>
      <w:r w:rsidRPr="007E664E">
        <w:rPr>
          <w:rFonts w:ascii="Calibri" w:cs="Calibri"/>
        </w:rPr>
        <w:tab/>
        <w:t>Walsh TJ, Raad I, Patterson TF, Chandrasekar P, Donowitz GR, Graybill R, et al. Treatment of Invasive Aspergillosis with Posaconazole in Patients Who Are Refractory to or Intolerant of Conventional Therapy: An Externally Controlled Trial. Clin Infect Dis 2007;44:2–12. https://doi.org/10.1086/508774.</w:t>
      </w:r>
    </w:p>
    <w:p w14:paraId="3FABEFE9" w14:textId="77777777" w:rsidR="007E664E" w:rsidRPr="007E664E" w:rsidRDefault="007E664E" w:rsidP="007E664E">
      <w:pPr>
        <w:pStyle w:val="Bibliography"/>
        <w:rPr>
          <w:rFonts w:ascii="Calibri" w:cs="Calibri"/>
        </w:rPr>
      </w:pPr>
      <w:r w:rsidRPr="007E664E">
        <w:rPr>
          <w:rFonts w:ascii="Calibri" w:cs="Calibri"/>
        </w:rPr>
        <w:t>[5]</w:t>
      </w:r>
      <w:r w:rsidRPr="007E664E">
        <w:rPr>
          <w:rFonts w:ascii="Calibri" w:cs="Calibri"/>
        </w:rPr>
        <w:tab/>
        <w:t>Cornely OA, Maertens J, Winston DJ, Perfect J, Ullmann AJ, Walsh TJ, et al. Posaconazole vs. Fluconazole or Itraconazole Prophylaxis in Patients with Neutropenia. N Engl J Med 2007;356:348–59. https://doi.org/10.1056/NEJMoa061094.</w:t>
      </w:r>
    </w:p>
    <w:p w14:paraId="421F80DB" w14:textId="77777777" w:rsidR="007E664E" w:rsidRPr="007E664E" w:rsidRDefault="007E664E" w:rsidP="007E664E">
      <w:pPr>
        <w:pStyle w:val="Bibliography"/>
        <w:rPr>
          <w:rFonts w:ascii="Calibri" w:cs="Calibri"/>
        </w:rPr>
      </w:pPr>
      <w:r w:rsidRPr="007E664E">
        <w:rPr>
          <w:rFonts w:ascii="Calibri" w:cs="Calibri"/>
        </w:rPr>
        <w:t>[6]</w:t>
      </w:r>
      <w:r w:rsidRPr="007E664E">
        <w:rPr>
          <w:rFonts w:ascii="Calibri" w:cs="Calibri"/>
        </w:rPr>
        <w:tab/>
        <w:t>Ullmann AJ, Aguado JM, Arikan-Akdagli S, Denning DW, Groll AH, Lagrou K, et al. Diagnosis and management of Aspergillus diseases: executive summary of the 2017 ESCMID-ECMM-ERS guideline. Clin Microbiol Infect 2018;24:e1–38. https://doi.org/10.1016/j.cmi.2018.01.002.</w:t>
      </w:r>
    </w:p>
    <w:p w14:paraId="4D9F28C6" w14:textId="77777777" w:rsidR="007E664E" w:rsidRPr="007E664E" w:rsidRDefault="007E664E" w:rsidP="007E664E">
      <w:pPr>
        <w:pStyle w:val="Bibliography"/>
        <w:rPr>
          <w:rFonts w:ascii="Calibri" w:cs="Calibri"/>
        </w:rPr>
      </w:pPr>
      <w:r w:rsidRPr="007E664E">
        <w:rPr>
          <w:rFonts w:ascii="Calibri" w:cs="Calibri"/>
        </w:rPr>
        <w:t>[7]</w:t>
      </w:r>
      <w:r w:rsidRPr="007E664E">
        <w:rPr>
          <w:rFonts w:ascii="Calibri" w:cs="Calibri"/>
        </w:rPr>
        <w:tab/>
        <w:t>Chen L, Krekels EHJ, Verweij PaulE, Buil JB, Knibbe CAJ, Brüggemann RJM. Pharmacokinetics and Pharmacodynamics of Posaconazole. Drugs 2020;80:671–95. https://doi.org/10.1007/s40265-020-01306-y.</w:t>
      </w:r>
    </w:p>
    <w:p w14:paraId="6DEC1E40" w14:textId="77777777" w:rsidR="007E664E" w:rsidRPr="007E664E" w:rsidRDefault="007E664E" w:rsidP="007E664E">
      <w:pPr>
        <w:pStyle w:val="Bibliography"/>
        <w:rPr>
          <w:rFonts w:ascii="Calibri" w:cs="Calibri"/>
        </w:rPr>
      </w:pPr>
      <w:r w:rsidRPr="007E664E">
        <w:rPr>
          <w:rFonts w:ascii="Calibri" w:cs="Calibri"/>
        </w:rPr>
        <w:t>[8]</w:t>
      </w:r>
      <w:r w:rsidRPr="007E664E">
        <w:rPr>
          <w:rFonts w:ascii="Calibri" w:cs="Calibri"/>
        </w:rPr>
        <w:tab/>
        <w:t>Van Daele R, Wauters J, Dreesen E, Boelens J, Nulens E, Lormans P, et al. Exposure to intravenous posaconazole in critically ill patients with influenza: A pharmacokinetic analysis of the POSA-FLU study. Mycoses 2022;65:656–60. https://doi.org/10.1111/myc.13446.</w:t>
      </w:r>
    </w:p>
    <w:p w14:paraId="165173CA" w14:textId="77777777" w:rsidR="007E664E" w:rsidRPr="007E664E" w:rsidRDefault="007E664E" w:rsidP="007E664E">
      <w:pPr>
        <w:pStyle w:val="Bibliography"/>
        <w:rPr>
          <w:rFonts w:ascii="Calibri" w:cs="Calibri"/>
        </w:rPr>
      </w:pPr>
      <w:r w:rsidRPr="007E664E">
        <w:rPr>
          <w:rFonts w:ascii="Calibri" w:cs="Calibri"/>
        </w:rPr>
        <w:t>[9]</w:t>
      </w:r>
      <w:r w:rsidRPr="007E664E">
        <w:rPr>
          <w:rFonts w:ascii="Calibri" w:cs="Calibri"/>
        </w:rPr>
        <w:tab/>
        <w:t>Vanderbeke L, Janssen NAF, Bergmans DCJJ, Bourgeois M, Buil JB, Debaveye Y, et al. Posaconazole for prevention of invasive pulmonary aspergillosis in critically ill influenza patients (POSA-FLU): a randomised, open-label, proof-of-concept trial. Intensive Care Med 2021;47:674–86. https://doi.org/10.1007/s00134-021-06431-0.</w:t>
      </w:r>
    </w:p>
    <w:p w14:paraId="4DD3CDA5" w14:textId="77777777" w:rsidR="007E664E" w:rsidRPr="007E664E" w:rsidRDefault="007E664E" w:rsidP="007E664E">
      <w:pPr>
        <w:pStyle w:val="Bibliography"/>
        <w:rPr>
          <w:rFonts w:ascii="Calibri" w:cs="Calibri"/>
        </w:rPr>
      </w:pPr>
      <w:r w:rsidRPr="007E664E">
        <w:rPr>
          <w:rFonts w:ascii="Calibri" w:cs="Calibri"/>
        </w:rPr>
        <w:t>[10]</w:t>
      </w:r>
      <w:r w:rsidRPr="007E664E">
        <w:rPr>
          <w:rFonts w:ascii="Calibri" w:cs="Calibri"/>
        </w:rPr>
        <w:tab/>
        <w:t>noxafil-epar-product-information_en.pdf n.d.</w:t>
      </w:r>
    </w:p>
    <w:p w14:paraId="518514CC" w14:textId="77777777" w:rsidR="007E664E" w:rsidRPr="007E664E" w:rsidRDefault="007E664E" w:rsidP="007E664E">
      <w:pPr>
        <w:pStyle w:val="Bibliography"/>
        <w:rPr>
          <w:rFonts w:ascii="Calibri" w:cs="Calibri"/>
        </w:rPr>
      </w:pPr>
      <w:r w:rsidRPr="007E664E">
        <w:rPr>
          <w:rFonts w:ascii="Calibri" w:cs="Calibri"/>
        </w:rPr>
        <w:t>[11]</w:t>
      </w:r>
      <w:r w:rsidRPr="007E664E">
        <w:rPr>
          <w:rFonts w:ascii="Calibri" w:cs="Calibri"/>
        </w:rPr>
        <w:tab/>
        <w:t>Guideline on the use of pharmacokinetics and pharmacodynamics in the development of antimicrobial medicinal products n.d.</w:t>
      </w:r>
    </w:p>
    <w:p w14:paraId="797BB87D" w14:textId="77777777" w:rsidR="007E664E" w:rsidRPr="007E664E" w:rsidRDefault="007E664E" w:rsidP="007E664E">
      <w:pPr>
        <w:pStyle w:val="Bibliography"/>
        <w:rPr>
          <w:rFonts w:ascii="Calibri" w:cs="Calibri"/>
        </w:rPr>
      </w:pPr>
      <w:r w:rsidRPr="007E664E">
        <w:rPr>
          <w:rFonts w:ascii="Calibri" w:cs="Calibri"/>
        </w:rPr>
        <w:t>[12]</w:t>
      </w:r>
      <w:r w:rsidRPr="007E664E">
        <w:rPr>
          <w:rFonts w:ascii="Calibri" w:cs="Calibri"/>
        </w:rPr>
        <w:tab/>
        <w:t>Tsai D, Lipman J, Roberts JA. Pharmacokinetic/pharmacodynamic considerations for the optimization of antimicrobial delivery in the critically ill. Curr Opin Crit Care 2015;21:412. https://doi.org/10.1097/MCC.0000000000000229.</w:t>
      </w:r>
    </w:p>
    <w:p w14:paraId="1A618035" w14:textId="77777777" w:rsidR="007E664E" w:rsidRPr="007E664E" w:rsidRDefault="007E664E" w:rsidP="007E664E">
      <w:pPr>
        <w:pStyle w:val="Bibliography"/>
        <w:rPr>
          <w:rFonts w:ascii="Calibri" w:cs="Calibri"/>
        </w:rPr>
      </w:pPr>
      <w:r w:rsidRPr="007E664E">
        <w:rPr>
          <w:rFonts w:ascii="Calibri" w:cs="Calibri"/>
        </w:rPr>
        <w:t>[13]</w:t>
      </w:r>
      <w:r w:rsidRPr="007E664E">
        <w:rPr>
          <w:rFonts w:ascii="Calibri" w:cs="Calibri"/>
        </w:rPr>
        <w:tab/>
        <w:t>Greco M, De Corte T, Ercole A, Antonelli M, Azoulay E, Citerio G, et al. Clinical and organizational factors associated with mortality during the peak of first COVID-19 wave: the global UNITE-COVID study. Intensive Care Med 2022;48:690–705. https://doi.org/10.1007/s00134-022-06705-1.</w:t>
      </w:r>
    </w:p>
    <w:p w14:paraId="29804134" w14:textId="77777777" w:rsidR="007E664E" w:rsidRPr="007E664E" w:rsidRDefault="007E664E" w:rsidP="007E664E">
      <w:pPr>
        <w:pStyle w:val="Bibliography"/>
        <w:rPr>
          <w:rFonts w:ascii="Calibri" w:cs="Calibri"/>
        </w:rPr>
      </w:pPr>
      <w:r w:rsidRPr="007E664E">
        <w:rPr>
          <w:rFonts w:ascii="Calibri" w:cs="Calibri"/>
        </w:rPr>
        <w:t>[14]</w:t>
      </w:r>
      <w:r w:rsidRPr="007E664E">
        <w:rPr>
          <w:rFonts w:ascii="Calibri" w:cs="Calibri"/>
        </w:rPr>
        <w:tab/>
        <w:t>Tverdek FP, Heo ST, Aitken SL, Granwehr B, Kontoyiannis DP. Real-Life Assessment of the Safety and Effectiveness of the New Tablet and Intravenous Formulations of Posaconazole in the Prophylaxis of Invasive Fungal Infections via Analysis of 343 Courses. Antimicrob Agents Chemother 2017;61:e00188-17. https://doi.org/10.1128/AAC.00188-17.</w:t>
      </w:r>
    </w:p>
    <w:p w14:paraId="38523A76" w14:textId="77777777" w:rsidR="007E664E" w:rsidRPr="007E664E" w:rsidRDefault="007E664E" w:rsidP="007E664E">
      <w:pPr>
        <w:pStyle w:val="Bibliography"/>
        <w:rPr>
          <w:rFonts w:ascii="Calibri" w:cs="Calibri"/>
        </w:rPr>
      </w:pPr>
      <w:r w:rsidRPr="007E664E">
        <w:rPr>
          <w:rFonts w:ascii="Calibri" w:cs="Calibri"/>
        </w:rPr>
        <w:lastRenderedPageBreak/>
        <w:t>[15]</w:t>
      </w:r>
      <w:r w:rsidRPr="007E664E">
        <w:rPr>
          <w:rFonts w:ascii="Calibri" w:cs="Calibri"/>
        </w:rPr>
        <w:tab/>
        <w:t>Nguyen M-VH, Davis MR, Wittenberg R, Mchardy I, Baddley JW, Young BY, et al. Posaconazole Serum Drug Levels Associated With Pseudohyperaldosteronism. Clin Infect Dis Off Publ Infect Dis Soc Am 2020;70:2593–8. https://doi.org/10.1093/cid/ciz741.</w:t>
      </w:r>
    </w:p>
    <w:p w14:paraId="4599A126" w14:textId="77777777" w:rsidR="007E664E" w:rsidRPr="007E664E" w:rsidRDefault="007E664E" w:rsidP="007E664E">
      <w:pPr>
        <w:pStyle w:val="Bibliography"/>
        <w:rPr>
          <w:rFonts w:ascii="Calibri" w:cs="Calibri"/>
        </w:rPr>
      </w:pPr>
      <w:r w:rsidRPr="007E664E">
        <w:rPr>
          <w:rFonts w:ascii="Calibri" w:cs="Calibri"/>
        </w:rPr>
        <w:t>[16]</w:t>
      </w:r>
      <w:r w:rsidRPr="007E664E">
        <w:rPr>
          <w:rFonts w:ascii="Calibri" w:cs="Calibri"/>
        </w:rPr>
        <w:tab/>
        <w:t>Cornely OA, Robertson MN, Haider S, Grigg A, Geddes M, Aoun M, et al. Pharmacokinetics and safety results from the Phase 3 randomized, open-label, study of intravenous posaconazole in patients at risk of invasive fungal disease. J Antimicrob Chemother 2017;72:3406–13. https://doi.org/10.1093/jac/dkx263.</w:t>
      </w:r>
    </w:p>
    <w:p w14:paraId="31C8184E" w14:textId="77777777" w:rsidR="007E664E" w:rsidRPr="007E664E" w:rsidRDefault="007E664E" w:rsidP="007E664E">
      <w:pPr>
        <w:pStyle w:val="Bibliography"/>
        <w:rPr>
          <w:rFonts w:ascii="Calibri" w:cs="Calibri"/>
        </w:rPr>
      </w:pPr>
      <w:r w:rsidRPr="007E664E">
        <w:rPr>
          <w:rFonts w:ascii="Calibri" w:cs="Calibri"/>
        </w:rPr>
        <w:t>[17]</w:t>
      </w:r>
      <w:r w:rsidRPr="007E664E">
        <w:rPr>
          <w:rFonts w:ascii="Calibri" w:cs="Calibri"/>
        </w:rPr>
        <w:tab/>
        <w:t>Jia M, Zhang Q, Qin Z, Wang D, Liu P, Yang J, et al. Dose Optimisation of Posaconazole and Therapeutic Drug Monitoring in Pediatric Patients. Front Pharmacol 2022;13:833303. https://doi.org/10.3389/fphar.2022.833303.</w:t>
      </w:r>
    </w:p>
    <w:p w14:paraId="64593895" w14:textId="77777777" w:rsidR="007E664E" w:rsidRPr="007E664E" w:rsidRDefault="007E664E" w:rsidP="007E664E">
      <w:pPr>
        <w:pStyle w:val="Bibliography"/>
        <w:rPr>
          <w:rFonts w:ascii="Calibri" w:cs="Calibri"/>
        </w:rPr>
      </w:pPr>
      <w:r w:rsidRPr="007E664E">
        <w:rPr>
          <w:rFonts w:ascii="Calibri" w:cs="Calibri"/>
        </w:rPr>
        <w:t>[18]</w:t>
      </w:r>
      <w:r w:rsidRPr="007E664E">
        <w:rPr>
          <w:rFonts w:ascii="Calibri" w:cs="Calibri"/>
        </w:rPr>
        <w:tab/>
        <w:t>Sabatino DC, Lange NW, Salerno DM, Scheffert J. Elevated posaconazole trough concentrations are not associated with increased risk for posaconazole toxicity in lung transplant recipients. Clin Transplant 2023;37:e14826. https://doi.org/10.1111/ctr.14826.</w:t>
      </w:r>
    </w:p>
    <w:p w14:paraId="4DDC9A93" w14:textId="77777777" w:rsidR="007E664E" w:rsidRPr="007E664E" w:rsidRDefault="007E664E" w:rsidP="007E664E">
      <w:pPr>
        <w:pStyle w:val="Bibliography"/>
        <w:rPr>
          <w:rFonts w:ascii="Calibri" w:cs="Calibri"/>
        </w:rPr>
      </w:pPr>
      <w:r w:rsidRPr="007E664E">
        <w:rPr>
          <w:rFonts w:ascii="Calibri" w:cs="Calibri"/>
        </w:rPr>
        <w:t>[19]</w:t>
      </w:r>
      <w:r w:rsidRPr="007E664E">
        <w:rPr>
          <w:rFonts w:ascii="Calibri" w:cs="Calibri"/>
        </w:rPr>
        <w:tab/>
        <w:t>Wasmann RE, Smit C, van Donselaar MH, van Dongen EPA, Wiezer RMJ, Verweij PE, et al. Implications for IV posaconazole dosing in the era of obesity. J Antimicrob Chemother 2020;75:1006–13. https://doi.org/10.1093/jac/dkz546.</w:t>
      </w:r>
    </w:p>
    <w:p w14:paraId="2322C934" w14:textId="77777777" w:rsidR="007E664E" w:rsidRPr="007E664E" w:rsidRDefault="007E664E" w:rsidP="007E664E">
      <w:pPr>
        <w:pStyle w:val="Bibliography"/>
        <w:rPr>
          <w:rFonts w:ascii="Calibri" w:cs="Calibri"/>
        </w:rPr>
      </w:pPr>
      <w:r w:rsidRPr="007E664E">
        <w:rPr>
          <w:rFonts w:ascii="Calibri" w:cs="Calibri"/>
        </w:rPr>
        <w:t>[20]</w:t>
      </w:r>
      <w:r w:rsidRPr="007E664E">
        <w:rPr>
          <w:rFonts w:ascii="Calibri" w:cs="Calibri"/>
        </w:rPr>
        <w:tab/>
        <w:t>Sime FB, Byrne CJ, Parker S, Stuart J, Butler J, Starr T, et al. Population pharmacokinetics of total and unbound concentrations of intravenous posaconazole in adult critically ill patients. Crit Care 2019;23:205. https://doi.org/10.1186/s13054-019-2483-9.</w:t>
      </w:r>
    </w:p>
    <w:p w14:paraId="737F42BF" w14:textId="2105E3BE" w:rsidR="007A6EF1" w:rsidRPr="009A3DB4" w:rsidRDefault="00757C33" w:rsidP="00890641">
      <w:pPr>
        <w:spacing w:line="480" w:lineRule="auto"/>
        <w:jc w:val="both"/>
      </w:pPr>
      <w:r w:rsidRPr="009A3DB4">
        <w:rPr>
          <w:rFonts w:ascii="Calibri" w:hAnsi="Calibri" w:cs="Calibri"/>
        </w:rPr>
        <w:fldChar w:fldCharType="end"/>
      </w:r>
    </w:p>
    <w:sectPr w:rsidR="007A6EF1" w:rsidRPr="009A3DB4" w:rsidSect="003C0197">
      <w:footerReference w:type="default" r:id="rId10"/>
      <w:pgSz w:w="12240" w:h="15840"/>
      <w:pgMar w:top="1417" w:right="1417" w:bottom="1417" w:left="1417"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C810" w14:textId="77777777" w:rsidR="003F4D60" w:rsidRDefault="003F4D60" w:rsidP="00884F78">
      <w:pPr>
        <w:spacing w:after="0" w:line="240" w:lineRule="auto"/>
      </w:pPr>
      <w:r>
        <w:separator/>
      </w:r>
    </w:p>
  </w:endnote>
  <w:endnote w:type="continuationSeparator" w:id="0">
    <w:p w14:paraId="1C752AF9" w14:textId="77777777" w:rsidR="003F4D60" w:rsidRDefault="003F4D60" w:rsidP="00884F78">
      <w:pPr>
        <w:spacing w:after="0" w:line="240" w:lineRule="auto"/>
      </w:pPr>
      <w:r>
        <w:continuationSeparator/>
      </w:r>
    </w:p>
  </w:endnote>
  <w:endnote w:type="continuationNotice" w:id="1">
    <w:p w14:paraId="18ADBDE7" w14:textId="77777777" w:rsidR="003F4D60" w:rsidRDefault="003F4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font>
  <w:font w:name="Lato-Regular">
    <w:altName w:val="Yu Gothic"/>
    <w:panose1 w:val="020F0502020204030203"/>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388739"/>
      <w:docPartObj>
        <w:docPartGallery w:val="Page Numbers (Bottom of Page)"/>
        <w:docPartUnique/>
      </w:docPartObj>
    </w:sdtPr>
    <w:sdtEndPr>
      <w:rPr>
        <w:noProof/>
      </w:rPr>
    </w:sdtEndPr>
    <w:sdtContent>
      <w:p w14:paraId="664768D0" w14:textId="22AAA355" w:rsidR="005D76A8" w:rsidRDefault="005D7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A2089" w14:textId="77777777" w:rsidR="005D76A8" w:rsidRDefault="005D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3EE0" w14:textId="77777777" w:rsidR="003F4D60" w:rsidRDefault="003F4D60" w:rsidP="00884F78">
      <w:pPr>
        <w:spacing w:after="0" w:line="240" w:lineRule="auto"/>
      </w:pPr>
      <w:r>
        <w:separator/>
      </w:r>
    </w:p>
  </w:footnote>
  <w:footnote w:type="continuationSeparator" w:id="0">
    <w:p w14:paraId="75E687D8" w14:textId="77777777" w:rsidR="003F4D60" w:rsidRDefault="003F4D60" w:rsidP="00884F78">
      <w:pPr>
        <w:spacing w:after="0" w:line="240" w:lineRule="auto"/>
      </w:pPr>
      <w:r>
        <w:continuationSeparator/>
      </w:r>
    </w:p>
  </w:footnote>
  <w:footnote w:type="continuationNotice" w:id="1">
    <w:p w14:paraId="327D4607" w14:textId="77777777" w:rsidR="003F4D60" w:rsidRDefault="003F4D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3D9"/>
    <w:multiLevelType w:val="hybridMultilevel"/>
    <w:tmpl w:val="BDFCFC72"/>
    <w:lvl w:ilvl="0" w:tplc="E1CAA080">
      <w:start w:val="1"/>
      <w:numFmt w:val="bullet"/>
      <w:lvlText w:val="-"/>
      <w:lvlJc w:val="left"/>
      <w:pPr>
        <w:ind w:left="720" w:hanging="360"/>
      </w:pPr>
      <w:rPr>
        <w:rFonts w:ascii="Arial" w:eastAsiaTheme="minorHAnsi" w:hAnsi="Aria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5194"/>
    <w:multiLevelType w:val="hybridMultilevel"/>
    <w:tmpl w:val="31167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D593E"/>
    <w:multiLevelType w:val="hybridMultilevel"/>
    <w:tmpl w:val="90CC6B8C"/>
    <w:lvl w:ilvl="0" w:tplc="2E00213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40C0"/>
    <w:multiLevelType w:val="multilevel"/>
    <w:tmpl w:val="BB88012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6711FDB"/>
    <w:multiLevelType w:val="hybridMultilevel"/>
    <w:tmpl w:val="A7ECBA7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06734C1"/>
    <w:multiLevelType w:val="hybridMultilevel"/>
    <w:tmpl w:val="9BBC0518"/>
    <w:lvl w:ilvl="0" w:tplc="03C86C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8D641F"/>
    <w:multiLevelType w:val="hybridMultilevel"/>
    <w:tmpl w:val="81180B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741770"/>
    <w:multiLevelType w:val="hybridMultilevel"/>
    <w:tmpl w:val="AEC2D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71059F"/>
    <w:multiLevelType w:val="hybridMultilevel"/>
    <w:tmpl w:val="1DF6E3B2"/>
    <w:lvl w:ilvl="0" w:tplc="08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15">
      <w:start w:val="1"/>
      <w:numFmt w:val="upperLetter"/>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A2114"/>
    <w:multiLevelType w:val="multilevel"/>
    <w:tmpl w:val="5B9C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50375"/>
    <w:multiLevelType w:val="hybridMultilevel"/>
    <w:tmpl w:val="46D6F12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0B3E82"/>
    <w:multiLevelType w:val="hybridMultilevel"/>
    <w:tmpl w:val="9F0A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625A3B"/>
    <w:multiLevelType w:val="multilevel"/>
    <w:tmpl w:val="C9A6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05765"/>
    <w:multiLevelType w:val="hybridMultilevel"/>
    <w:tmpl w:val="206C14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D2770C9"/>
    <w:multiLevelType w:val="hybridMultilevel"/>
    <w:tmpl w:val="48568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1F511C"/>
    <w:multiLevelType w:val="hybridMultilevel"/>
    <w:tmpl w:val="CA129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207ACB"/>
    <w:multiLevelType w:val="hybridMultilevel"/>
    <w:tmpl w:val="A0FA0EBE"/>
    <w:lvl w:ilvl="0" w:tplc="B8DC6164">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87AE4"/>
    <w:multiLevelType w:val="hybridMultilevel"/>
    <w:tmpl w:val="A4D4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794ADB"/>
    <w:multiLevelType w:val="hybridMultilevel"/>
    <w:tmpl w:val="E308430A"/>
    <w:lvl w:ilvl="0" w:tplc="2ABA724C">
      <w:start w:val="1"/>
      <w:numFmt w:val="decimal"/>
      <w:lvlText w:val="%1)"/>
      <w:lvlJc w:val="left"/>
      <w:pPr>
        <w:ind w:left="1080" w:hanging="360"/>
      </w:pPr>
    </w:lvl>
    <w:lvl w:ilvl="1" w:tplc="4A200728">
      <w:start w:val="1"/>
      <w:numFmt w:val="decimal"/>
      <w:lvlText w:val="%2)"/>
      <w:lvlJc w:val="left"/>
      <w:pPr>
        <w:ind w:left="1080" w:hanging="360"/>
      </w:pPr>
    </w:lvl>
    <w:lvl w:ilvl="2" w:tplc="CCAC7CC0">
      <w:start w:val="1"/>
      <w:numFmt w:val="decimal"/>
      <w:lvlText w:val="%3)"/>
      <w:lvlJc w:val="left"/>
      <w:pPr>
        <w:ind w:left="1080" w:hanging="360"/>
      </w:pPr>
    </w:lvl>
    <w:lvl w:ilvl="3" w:tplc="61DEEF82">
      <w:start w:val="1"/>
      <w:numFmt w:val="decimal"/>
      <w:lvlText w:val="%4)"/>
      <w:lvlJc w:val="left"/>
      <w:pPr>
        <w:ind w:left="1080" w:hanging="360"/>
      </w:pPr>
    </w:lvl>
    <w:lvl w:ilvl="4" w:tplc="06040870">
      <w:start w:val="1"/>
      <w:numFmt w:val="decimal"/>
      <w:lvlText w:val="%5)"/>
      <w:lvlJc w:val="left"/>
      <w:pPr>
        <w:ind w:left="1080" w:hanging="360"/>
      </w:pPr>
    </w:lvl>
    <w:lvl w:ilvl="5" w:tplc="27B227F2">
      <w:start w:val="1"/>
      <w:numFmt w:val="decimal"/>
      <w:lvlText w:val="%6)"/>
      <w:lvlJc w:val="left"/>
      <w:pPr>
        <w:ind w:left="1080" w:hanging="360"/>
      </w:pPr>
    </w:lvl>
    <w:lvl w:ilvl="6" w:tplc="D862B6E4">
      <w:start w:val="1"/>
      <w:numFmt w:val="decimal"/>
      <w:lvlText w:val="%7)"/>
      <w:lvlJc w:val="left"/>
      <w:pPr>
        <w:ind w:left="1080" w:hanging="360"/>
      </w:pPr>
    </w:lvl>
    <w:lvl w:ilvl="7" w:tplc="D5362380">
      <w:start w:val="1"/>
      <w:numFmt w:val="decimal"/>
      <w:lvlText w:val="%8)"/>
      <w:lvlJc w:val="left"/>
      <w:pPr>
        <w:ind w:left="1080" w:hanging="360"/>
      </w:pPr>
    </w:lvl>
    <w:lvl w:ilvl="8" w:tplc="4922FC88">
      <w:start w:val="1"/>
      <w:numFmt w:val="decimal"/>
      <w:lvlText w:val="%9)"/>
      <w:lvlJc w:val="left"/>
      <w:pPr>
        <w:ind w:left="1080" w:hanging="360"/>
      </w:pPr>
    </w:lvl>
  </w:abstractNum>
  <w:abstractNum w:abstractNumId="19" w15:restartNumberingAfterBreak="0">
    <w:nsid w:val="77C16C01"/>
    <w:multiLevelType w:val="hybridMultilevel"/>
    <w:tmpl w:val="73CE1F8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9E1714C"/>
    <w:multiLevelType w:val="hybridMultilevel"/>
    <w:tmpl w:val="0510B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D97E80"/>
    <w:multiLevelType w:val="hybridMultilevel"/>
    <w:tmpl w:val="30045C78"/>
    <w:lvl w:ilvl="0" w:tplc="3656D9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C7B0D"/>
    <w:multiLevelType w:val="multilevel"/>
    <w:tmpl w:val="C41639F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7E611E56"/>
    <w:multiLevelType w:val="hybridMultilevel"/>
    <w:tmpl w:val="800C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540729">
    <w:abstractNumId w:val="15"/>
  </w:num>
  <w:num w:numId="2" w16cid:durableId="1185905039">
    <w:abstractNumId w:val="11"/>
  </w:num>
  <w:num w:numId="3" w16cid:durableId="1013800559">
    <w:abstractNumId w:val="13"/>
  </w:num>
  <w:num w:numId="4" w16cid:durableId="2136681654">
    <w:abstractNumId w:val="14"/>
  </w:num>
  <w:num w:numId="5" w16cid:durableId="984353255">
    <w:abstractNumId w:val="23"/>
  </w:num>
  <w:num w:numId="6" w16cid:durableId="460079114">
    <w:abstractNumId w:val="1"/>
  </w:num>
  <w:num w:numId="7" w16cid:durableId="655839208">
    <w:abstractNumId w:val="17"/>
  </w:num>
  <w:num w:numId="8" w16cid:durableId="317539867">
    <w:abstractNumId w:val="7"/>
  </w:num>
  <w:num w:numId="9" w16cid:durableId="2015451342">
    <w:abstractNumId w:val="10"/>
  </w:num>
  <w:num w:numId="10" w16cid:durableId="671681546">
    <w:abstractNumId w:val="8"/>
  </w:num>
  <w:num w:numId="11" w16cid:durableId="942691606">
    <w:abstractNumId w:val="19"/>
  </w:num>
  <w:num w:numId="12" w16cid:durableId="1405103742">
    <w:abstractNumId w:val="20"/>
  </w:num>
  <w:num w:numId="13" w16cid:durableId="247807993">
    <w:abstractNumId w:val="5"/>
  </w:num>
  <w:num w:numId="14" w16cid:durableId="386076307">
    <w:abstractNumId w:val="9"/>
  </w:num>
  <w:num w:numId="15" w16cid:durableId="1107458861">
    <w:abstractNumId w:val="12"/>
  </w:num>
  <w:num w:numId="16" w16cid:durableId="907107847">
    <w:abstractNumId w:val="4"/>
  </w:num>
  <w:num w:numId="17" w16cid:durableId="4245725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861339">
    <w:abstractNumId w:val="18"/>
  </w:num>
  <w:num w:numId="19" w16cid:durableId="1902017497">
    <w:abstractNumId w:val="3"/>
  </w:num>
  <w:num w:numId="20" w16cid:durableId="1438408216">
    <w:abstractNumId w:val="21"/>
  </w:num>
  <w:num w:numId="21" w16cid:durableId="1463228692">
    <w:abstractNumId w:val="6"/>
  </w:num>
  <w:num w:numId="22" w16cid:durableId="2056927492">
    <w:abstractNumId w:val="2"/>
  </w:num>
  <w:num w:numId="23" w16cid:durableId="2009602104">
    <w:abstractNumId w:val="16"/>
  </w:num>
  <w:num w:numId="24" w16cid:durableId="87735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0tDQ0MzCzMDVQ0lEKTi0uzszPAykwNK4FAE8XHZctAAAA"/>
  </w:docVars>
  <w:rsids>
    <w:rsidRoot w:val="004D24F6"/>
    <w:rsid w:val="00000436"/>
    <w:rsid w:val="0000086C"/>
    <w:rsid w:val="00001304"/>
    <w:rsid w:val="000016CF"/>
    <w:rsid w:val="000018D8"/>
    <w:rsid w:val="00002AC5"/>
    <w:rsid w:val="00004C5E"/>
    <w:rsid w:val="00004F24"/>
    <w:rsid w:val="00006490"/>
    <w:rsid w:val="00007C54"/>
    <w:rsid w:val="00010181"/>
    <w:rsid w:val="00014BB6"/>
    <w:rsid w:val="000159DF"/>
    <w:rsid w:val="000159EB"/>
    <w:rsid w:val="00015A17"/>
    <w:rsid w:val="00016C02"/>
    <w:rsid w:val="00016CCD"/>
    <w:rsid w:val="00017FB1"/>
    <w:rsid w:val="0002014B"/>
    <w:rsid w:val="0002021E"/>
    <w:rsid w:val="00021C0C"/>
    <w:rsid w:val="000220FA"/>
    <w:rsid w:val="00022EB5"/>
    <w:rsid w:val="00023DD3"/>
    <w:rsid w:val="0002545B"/>
    <w:rsid w:val="00025E4C"/>
    <w:rsid w:val="00026478"/>
    <w:rsid w:val="000315E0"/>
    <w:rsid w:val="00031906"/>
    <w:rsid w:val="00034677"/>
    <w:rsid w:val="00035472"/>
    <w:rsid w:val="000359D1"/>
    <w:rsid w:val="0003613E"/>
    <w:rsid w:val="000362B3"/>
    <w:rsid w:val="00037101"/>
    <w:rsid w:val="0004131A"/>
    <w:rsid w:val="00045F93"/>
    <w:rsid w:val="00046CF7"/>
    <w:rsid w:val="00050096"/>
    <w:rsid w:val="0005112A"/>
    <w:rsid w:val="0005337B"/>
    <w:rsid w:val="00053642"/>
    <w:rsid w:val="00055355"/>
    <w:rsid w:val="00056CAF"/>
    <w:rsid w:val="00060051"/>
    <w:rsid w:val="0006063A"/>
    <w:rsid w:val="00060A86"/>
    <w:rsid w:val="00061062"/>
    <w:rsid w:val="000611BB"/>
    <w:rsid w:val="00061C69"/>
    <w:rsid w:val="00071073"/>
    <w:rsid w:val="00074A7F"/>
    <w:rsid w:val="00075824"/>
    <w:rsid w:val="00075A88"/>
    <w:rsid w:val="0007647D"/>
    <w:rsid w:val="000803EC"/>
    <w:rsid w:val="0008128E"/>
    <w:rsid w:val="00081C50"/>
    <w:rsid w:val="00081F0D"/>
    <w:rsid w:val="00081F16"/>
    <w:rsid w:val="000846CB"/>
    <w:rsid w:val="000859C9"/>
    <w:rsid w:val="0008748F"/>
    <w:rsid w:val="000875B8"/>
    <w:rsid w:val="00090F93"/>
    <w:rsid w:val="0009129C"/>
    <w:rsid w:val="00091B5B"/>
    <w:rsid w:val="00091EDB"/>
    <w:rsid w:val="00092C90"/>
    <w:rsid w:val="00094E2B"/>
    <w:rsid w:val="0009614B"/>
    <w:rsid w:val="000966E5"/>
    <w:rsid w:val="000A0208"/>
    <w:rsid w:val="000A049F"/>
    <w:rsid w:val="000A1AA1"/>
    <w:rsid w:val="000A2824"/>
    <w:rsid w:val="000A40BE"/>
    <w:rsid w:val="000A4DA6"/>
    <w:rsid w:val="000A6875"/>
    <w:rsid w:val="000A73A8"/>
    <w:rsid w:val="000B21F6"/>
    <w:rsid w:val="000B2515"/>
    <w:rsid w:val="000B2908"/>
    <w:rsid w:val="000B2ABA"/>
    <w:rsid w:val="000B2F9E"/>
    <w:rsid w:val="000B3B4E"/>
    <w:rsid w:val="000B655F"/>
    <w:rsid w:val="000B689D"/>
    <w:rsid w:val="000C0BBE"/>
    <w:rsid w:val="000C2F02"/>
    <w:rsid w:val="000C566B"/>
    <w:rsid w:val="000C7397"/>
    <w:rsid w:val="000D0D4A"/>
    <w:rsid w:val="000D23F5"/>
    <w:rsid w:val="000D2FFE"/>
    <w:rsid w:val="000D3D0D"/>
    <w:rsid w:val="000D3E63"/>
    <w:rsid w:val="000D4F82"/>
    <w:rsid w:val="000D6820"/>
    <w:rsid w:val="000D6D84"/>
    <w:rsid w:val="000D7BA4"/>
    <w:rsid w:val="000E09E0"/>
    <w:rsid w:val="000E3BDD"/>
    <w:rsid w:val="000E4AFE"/>
    <w:rsid w:val="000E4BD8"/>
    <w:rsid w:val="000E56D9"/>
    <w:rsid w:val="000E5C5E"/>
    <w:rsid w:val="000E6A4C"/>
    <w:rsid w:val="000F22E1"/>
    <w:rsid w:val="000F2DE7"/>
    <w:rsid w:val="000F43C9"/>
    <w:rsid w:val="000F637E"/>
    <w:rsid w:val="000F6C1F"/>
    <w:rsid w:val="000F71E9"/>
    <w:rsid w:val="00100924"/>
    <w:rsid w:val="00100B08"/>
    <w:rsid w:val="00103103"/>
    <w:rsid w:val="001038B1"/>
    <w:rsid w:val="00104049"/>
    <w:rsid w:val="001074A5"/>
    <w:rsid w:val="00107A2D"/>
    <w:rsid w:val="001102E2"/>
    <w:rsid w:val="00115516"/>
    <w:rsid w:val="00115862"/>
    <w:rsid w:val="001163B7"/>
    <w:rsid w:val="00116CE4"/>
    <w:rsid w:val="001170CD"/>
    <w:rsid w:val="0011796F"/>
    <w:rsid w:val="00117C68"/>
    <w:rsid w:val="00120D60"/>
    <w:rsid w:val="00121A36"/>
    <w:rsid w:val="001225A6"/>
    <w:rsid w:val="00125083"/>
    <w:rsid w:val="001265A2"/>
    <w:rsid w:val="0012713A"/>
    <w:rsid w:val="001303F8"/>
    <w:rsid w:val="00130835"/>
    <w:rsid w:val="0013198E"/>
    <w:rsid w:val="00134B20"/>
    <w:rsid w:val="0013554C"/>
    <w:rsid w:val="00135CE7"/>
    <w:rsid w:val="00137667"/>
    <w:rsid w:val="00137DD4"/>
    <w:rsid w:val="001409A2"/>
    <w:rsid w:val="00143164"/>
    <w:rsid w:val="001433FA"/>
    <w:rsid w:val="001436FF"/>
    <w:rsid w:val="00143E7B"/>
    <w:rsid w:val="00144051"/>
    <w:rsid w:val="00145632"/>
    <w:rsid w:val="00147F70"/>
    <w:rsid w:val="001503BE"/>
    <w:rsid w:val="001569B9"/>
    <w:rsid w:val="001569EA"/>
    <w:rsid w:val="00160174"/>
    <w:rsid w:val="001623F0"/>
    <w:rsid w:val="00163973"/>
    <w:rsid w:val="00164FB9"/>
    <w:rsid w:val="0016531D"/>
    <w:rsid w:val="001659A9"/>
    <w:rsid w:val="00165E41"/>
    <w:rsid w:val="00170855"/>
    <w:rsid w:val="00174817"/>
    <w:rsid w:val="00175678"/>
    <w:rsid w:val="0017624F"/>
    <w:rsid w:val="0018048A"/>
    <w:rsid w:val="0018118C"/>
    <w:rsid w:val="00181241"/>
    <w:rsid w:val="001827F6"/>
    <w:rsid w:val="00182B17"/>
    <w:rsid w:val="00186962"/>
    <w:rsid w:val="00191899"/>
    <w:rsid w:val="0019208F"/>
    <w:rsid w:val="001934A2"/>
    <w:rsid w:val="00194F8C"/>
    <w:rsid w:val="00195C5D"/>
    <w:rsid w:val="0019693F"/>
    <w:rsid w:val="001A05F9"/>
    <w:rsid w:val="001A2245"/>
    <w:rsid w:val="001A3BC7"/>
    <w:rsid w:val="001A4FDC"/>
    <w:rsid w:val="001A5860"/>
    <w:rsid w:val="001A6A8D"/>
    <w:rsid w:val="001A7CA6"/>
    <w:rsid w:val="001B18DC"/>
    <w:rsid w:val="001B20BB"/>
    <w:rsid w:val="001B3165"/>
    <w:rsid w:val="001B37C9"/>
    <w:rsid w:val="001B7472"/>
    <w:rsid w:val="001C0935"/>
    <w:rsid w:val="001C100B"/>
    <w:rsid w:val="001C1855"/>
    <w:rsid w:val="001C215D"/>
    <w:rsid w:val="001C35A9"/>
    <w:rsid w:val="001C417D"/>
    <w:rsid w:val="001C44DF"/>
    <w:rsid w:val="001C7336"/>
    <w:rsid w:val="001C772D"/>
    <w:rsid w:val="001D2F7A"/>
    <w:rsid w:val="001D4F21"/>
    <w:rsid w:val="001D6947"/>
    <w:rsid w:val="001E1CE3"/>
    <w:rsid w:val="001E4851"/>
    <w:rsid w:val="001E4CD0"/>
    <w:rsid w:val="001E50A5"/>
    <w:rsid w:val="001E5246"/>
    <w:rsid w:val="001E5538"/>
    <w:rsid w:val="001E7492"/>
    <w:rsid w:val="001E7ED3"/>
    <w:rsid w:val="001F4727"/>
    <w:rsid w:val="001F6591"/>
    <w:rsid w:val="001F7AF8"/>
    <w:rsid w:val="00200556"/>
    <w:rsid w:val="00200B35"/>
    <w:rsid w:val="0020267E"/>
    <w:rsid w:val="002028F3"/>
    <w:rsid w:val="00203B79"/>
    <w:rsid w:val="002041C3"/>
    <w:rsid w:val="00204C0E"/>
    <w:rsid w:val="002052BD"/>
    <w:rsid w:val="00207462"/>
    <w:rsid w:val="00207AE3"/>
    <w:rsid w:val="00207B09"/>
    <w:rsid w:val="00211BE3"/>
    <w:rsid w:val="00212365"/>
    <w:rsid w:val="00212CF3"/>
    <w:rsid w:val="00215C48"/>
    <w:rsid w:val="00216337"/>
    <w:rsid w:val="0021708E"/>
    <w:rsid w:val="002203BD"/>
    <w:rsid w:val="00220A39"/>
    <w:rsid w:val="0022235F"/>
    <w:rsid w:val="00222EA6"/>
    <w:rsid w:val="00223993"/>
    <w:rsid w:val="0022432A"/>
    <w:rsid w:val="00224A28"/>
    <w:rsid w:val="002302F4"/>
    <w:rsid w:val="00233C89"/>
    <w:rsid w:val="00234102"/>
    <w:rsid w:val="002349CA"/>
    <w:rsid w:val="00237FF7"/>
    <w:rsid w:val="00240405"/>
    <w:rsid w:val="0024430E"/>
    <w:rsid w:val="00246E58"/>
    <w:rsid w:val="00251553"/>
    <w:rsid w:val="0025352E"/>
    <w:rsid w:val="00254269"/>
    <w:rsid w:val="0025491A"/>
    <w:rsid w:val="0025518A"/>
    <w:rsid w:val="0025669D"/>
    <w:rsid w:val="00256AAD"/>
    <w:rsid w:val="00257264"/>
    <w:rsid w:val="002620BE"/>
    <w:rsid w:val="00262914"/>
    <w:rsid w:val="00262E5A"/>
    <w:rsid w:val="00267799"/>
    <w:rsid w:val="002678B1"/>
    <w:rsid w:val="00267956"/>
    <w:rsid w:val="00270168"/>
    <w:rsid w:val="0027030F"/>
    <w:rsid w:val="00270387"/>
    <w:rsid w:val="002703ED"/>
    <w:rsid w:val="00270A60"/>
    <w:rsid w:val="00270BAC"/>
    <w:rsid w:val="00271428"/>
    <w:rsid w:val="00271BD4"/>
    <w:rsid w:val="00272CA3"/>
    <w:rsid w:val="002768F1"/>
    <w:rsid w:val="00276BFF"/>
    <w:rsid w:val="00277249"/>
    <w:rsid w:val="00277E94"/>
    <w:rsid w:val="00280884"/>
    <w:rsid w:val="002820DB"/>
    <w:rsid w:val="00282E21"/>
    <w:rsid w:val="002841E4"/>
    <w:rsid w:val="00287945"/>
    <w:rsid w:val="002902EA"/>
    <w:rsid w:val="0029065D"/>
    <w:rsid w:val="002908F9"/>
    <w:rsid w:val="00293F36"/>
    <w:rsid w:val="002941CC"/>
    <w:rsid w:val="00294818"/>
    <w:rsid w:val="00296F41"/>
    <w:rsid w:val="002972A3"/>
    <w:rsid w:val="002A02EE"/>
    <w:rsid w:val="002A1FF0"/>
    <w:rsid w:val="002A33A7"/>
    <w:rsid w:val="002A3903"/>
    <w:rsid w:val="002A3A93"/>
    <w:rsid w:val="002A47BB"/>
    <w:rsid w:val="002A4F8F"/>
    <w:rsid w:val="002A5958"/>
    <w:rsid w:val="002A6E68"/>
    <w:rsid w:val="002B00D7"/>
    <w:rsid w:val="002B083B"/>
    <w:rsid w:val="002B1526"/>
    <w:rsid w:val="002B1F78"/>
    <w:rsid w:val="002B1F87"/>
    <w:rsid w:val="002B2152"/>
    <w:rsid w:val="002B3B77"/>
    <w:rsid w:val="002B4447"/>
    <w:rsid w:val="002B5624"/>
    <w:rsid w:val="002B620B"/>
    <w:rsid w:val="002B75C7"/>
    <w:rsid w:val="002C15C9"/>
    <w:rsid w:val="002C1E8E"/>
    <w:rsid w:val="002C2D1A"/>
    <w:rsid w:val="002C3845"/>
    <w:rsid w:val="002C4149"/>
    <w:rsid w:val="002C4AC6"/>
    <w:rsid w:val="002C5AA0"/>
    <w:rsid w:val="002C6101"/>
    <w:rsid w:val="002C67C6"/>
    <w:rsid w:val="002C72FF"/>
    <w:rsid w:val="002C7A05"/>
    <w:rsid w:val="002C7A6E"/>
    <w:rsid w:val="002C7DF7"/>
    <w:rsid w:val="002D0FD6"/>
    <w:rsid w:val="002D113F"/>
    <w:rsid w:val="002D15BB"/>
    <w:rsid w:val="002D2413"/>
    <w:rsid w:val="002D2A1B"/>
    <w:rsid w:val="002D31A0"/>
    <w:rsid w:val="002D3BD8"/>
    <w:rsid w:val="002D3D83"/>
    <w:rsid w:val="002D4269"/>
    <w:rsid w:val="002D4DF5"/>
    <w:rsid w:val="002D4EB8"/>
    <w:rsid w:val="002D62EE"/>
    <w:rsid w:val="002D7A76"/>
    <w:rsid w:val="002E0DC0"/>
    <w:rsid w:val="002E2AFC"/>
    <w:rsid w:val="002E57E2"/>
    <w:rsid w:val="002E6CD7"/>
    <w:rsid w:val="002E6FCA"/>
    <w:rsid w:val="002F0825"/>
    <w:rsid w:val="002F1749"/>
    <w:rsid w:val="002F36EB"/>
    <w:rsid w:val="002F3A75"/>
    <w:rsid w:val="002F3B07"/>
    <w:rsid w:val="002F3E00"/>
    <w:rsid w:val="002F44C3"/>
    <w:rsid w:val="002F4B65"/>
    <w:rsid w:val="002F635E"/>
    <w:rsid w:val="002F79CF"/>
    <w:rsid w:val="003016F4"/>
    <w:rsid w:val="00301AFF"/>
    <w:rsid w:val="00301FB1"/>
    <w:rsid w:val="00303EAF"/>
    <w:rsid w:val="0030431D"/>
    <w:rsid w:val="00304E90"/>
    <w:rsid w:val="00307053"/>
    <w:rsid w:val="00311381"/>
    <w:rsid w:val="00312AC4"/>
    <w:rsid w:val="00313E33"/>
    <w:rsid w:val="003147BD"/>
    <w:rsid w:val="00320297"/>
    <w:rsid w:val="00320CC1"/>
    <w:rsid w:val="003260AD"/>
    <w:rsid w:val="00326A8C"/>
    <w:rsid w:val="00326BAD"/>
    <w:rsid w:val="00326D64"/>
    <w:rsid w:val="00326DD5"/>
    <w:rsid w:val="00326EAC"/>
    <w:rsid w:val="003324CD"/>
    <w:rsid w:val="00333D9B"/>
    <w:rsid w:val="003358B7"/>
    <w:rsid w:val="0034018A"/>
    <w:rsid w:val="003402E4"/>
    <w:rsid w:val="0034119D"/>
    <w:rsid w:val="00341B84"/>
    <w:rsid w:val="003425A6"/>
    <w:rsid w:val="00342AFD"/>
    <w:rsid w:val="003452CE"/>
    <w:rsid w:val="00345FD6"/>
    <w:rsid w:val="00347E51"/>
    <w:rsid w:val="003508BC"/>
    <w:rsid w:val="00351558"/>
    <w:rsid w:val="00352B02"/>
    <w:rsid w:val="00352E53"/>
    <w:rsid w:val="003537CD"/>
    <w:rsid w:val="00353D90"/>
    <w:rsid w:val="00355394"/>
    <w:rsid w:val="0035618D"/>
    <w:rsid w:val="00356E6C"/>
    <w:rsid w:val="00356F58"/>
    <w:rsid w:val="00357B08"/>
    <w:rsid w:val="00357D5B"/>
    <w:rsid w:val="003602E9"/>
    <w:rsid w:val="0036488D"/>
    <w:rsid w:val="00364B42"/>
    <w:rsid w:val="00364D37"/>
    <w:rsid w:val="00366609"/>
    <w:rsid w:val="0037108E"/>
    <w:rsid w:val="00371FE1"/>
    <w:rsid w:val="00372253"/>
    <w:rsid w:val="00372D13"/>
    <w:rsid w:val="00372DBD"/>
    <w:rsid w:val="00373B00"/>
    <w:rsid w:val="003747A6"/>
    <w:rsid w:val="00375D21"/>
    <w:rsid w:val="00376AC5"/>
    <w:rsid w:val="00377542"/>
    <w:rsid w:val="003800CF"/>
    <w:rsid w:val="0038030D"/>
    <w:rsid w:val="00381410"/>
    <w:rsid w:val="00381814"/>
    <w:rsid w:val="00383548"/>
    <w:rsid w:val="00385E3A"/>
    <w:rsid w:val="00386923"/>
    <w:rsid w:val="00387780"/>
    <w:rsid w:val="00390738"/>
    <w:rsid w:val="003911CD"/>
    <w:rsid w:val="00393D9E"/>
    <w:rsid w:val="00394028"/>
    <w:rsid w:val="00395E21"/>
    <w:rsid w:val="003964D9"/>
    <w:rsid w:val="00396C16"/>
    <w:rsid w:val="003A143B"/>
    <w:rsid w:val="003A188D"/>
    <w:rsid w:val="003A2F4B"/>
    <w:rsid w:val="003A3247"/>
    <w:rsid w:val="003A403A"/>
    <w:rsid w:val="003A4078"/>
    <w:rsid w:val="003A49DB"/>
    <w:rsid w:val="003A681C"/>
    <w:rsid w:val="003A720B"/>
    <w:rsid w:val="003A7863"/>
    <w:rsid w:val="003A7F1F"/>
    <w:rsid w:val="003B18B8"/>
    <w:rsid w:val="003B1C18"/>
    <w:rsid w:val="003B40CE"/>
    <w:rsid w:val="003C0197"/>
    <w:rsid w:val="003C065B"/>
    <w:rsid w:val="003C198B"/>
    <w:rsid w:val="003C247E"/>
    <w:rsid w:val="003C253C"/>
    <w:rsid w:val="003C2803"/>
    <w:rsid w:val="003C2ACD"/>
    <w:rsid w:val="003C353B"/>
    <w:rsid w:val="003D085C"/>
    <w:rsid w:val="003D107F"/>
    <w:rsid w:val="003D2F1F"/>
    <w:rsid w:val="003D4A06"/>
    <w:rsid w:val="003D551E"/>
    <w:rsid w:val="003D6E47"/>
    <w:rsid w:val="003E01B6"/>
    <w:rsid w:val="003E072F"/>
    <w:rsid w:val="003E0BDA"/>
    <w:rsid w:val="003E0C70"/>
    <w:rsid w:val="003E2E6D"/>
    <w:rsid w:val="003E39F5"/>
    <w:rsid w:val="003E3A81"/>
    <w:rsid w:val="003E3CAA"/>
    <w:rsid w:val="003E497B"/>
    <w:rsid w:val="003E53F9"/>
    <w:rsid w:val="003E7549"/>
    <w:rsid w:val="003F4D60"/>
    <w:rsid w:val="003F737B"/>
    <w:rsid w:val="00400894"/>
    <w:rsid w:val="0040105A"/>
    <w:rsid w:val="0040211A"/>
    <w:rsid w:val="00403D9F"/>
    <w:rsid w:val="00404465"/>
    <w:rsid w:val="004044F6"/>
    <w:rsid w:val="00404F8D"/>
    <w:rsid w:val="00405097"/>
    <w:rsid w:val="00407254"/>
    <w:rsid w:val="004116B8"/>
    <w:rsid w:val="00412468"/>
    <w:rsid w:val="00413EFC"/>
    <w:rsid w:val="0041451F"/>
    <w:rsid w:val="0041452B"/>
    <w:rsid w:val="004152C9"/>
    <w:rsid w:val="00416958"/>
    <w:rsid w:val="00417485"/>
    <w:rsid w:val="004209FD"/>
    <w:rsid w:val="004219DA"/>
    <w:rsid w:val="00424084"/>
    <w:rsid w:val="00424FE3"/>
    <w:rsid w:val="00426FAB"/>
    <w:rsid w:val="00427371"/>
    <w:rsid w:val="004277C7"/>
    <w:rsid w:val="00432067"/>
    <w:rsid w:val="0043297B"/>
    <w:rsid w:val="00434BBA"/>
    <w:rsid w:val="00434C6D"/>
    <w:rsid w:val="004362F4"/>
    <w:rsid w:val="00437A61"/>
    <w:rsid w:val="00440723"/>
    <w:rsid w:val="00442B5B"/>
    <w:rsid w:val="0044677D"/>
    <w:rsid w:val="00447566"/>
    <w:rsid w:val="004512BD"/>
    <w:rsid w:val="0045350B"/>
    <w:rsid w:val="00454945"/>
    <w:rsid w:val="004574E9"/>
    <w:rsid w:val="0045789E"/>
    <w:rsid w:val="00461C2D"/>
    <w:rsid w:val="00461D37"/>
    <w:rsid w:val="0046220A"/>
    <w:rsid w:val="004639B9"/>
    <w:rsid w:val="00463FDC"/>
    <w:rsid w:val="00466251"/>
    <w:rsid w:val="0046687A"/>
    <w:rsid w:val="004668BE"/>
    <w:rsid w:val="00466E19"/>
    <w:rsid w:val="00467325"/>
    <w:rsid w:val="00470687"/>
    <w:rsid w:val="0047151A"/>
    <w:rsid w:val="00471533"/>
    <w:rsid w:val="00473A0B"/>
    <w:rsid w:val="00475447"/>
    <w:rsid w:val="00475A36"/>
    <w:rsid w:val="00476DDF"/>
    <w:rsid w:val="0047718D"/>
    <w:rsid w:val="0047775B"/>
    <w:rsid w:val="004818C8"/>
    <w:rsid w:val="00483636"/>
    <w:rsid w:val="00483BE5"/>
    <w:rsid w:val="0048400B"/>
    <w:rsid w:val="004843F0"/>
    <w:rsid w:val="00484514"/>
    <w:rsid w:val="00484847"/>
    <w:rsid w:val="00484CAA"/>
    <w:rsid w:val="00485501"/>
    <w:rsid w:val="00486760"/>
    <w:rsid w:val="00486C76"/>
    <w:rsid w:val="00490448"/>
    <w:rsid w:val="004922D1"/>
    <w:rsid w:val="00495DCF"/>
    <w:rsid w:val="00496D4B"/>
    <w:rsid w:val="00497D65"/>
    <w:rsid w:val="004A01C9"/>
    <w:rsid w:val="004A09F1"/>
    <w:rsid w:val="004A133B"/>
    <w:rsid w:val="004A1975"/>
    <w:rsid w:val="004A2F57"/>
    <w:rsid w:val="004A3148"/>
    <w:rsid w:val="004A323F"/>
    <w:rsid w:val="004A4324"/>
    <w:rsid w:val="004A526C"/>
    <w:rsid w:val="004A59DF"/>
    <w:rsid w:val="004B27B4"/>
    <w:rsid w:val="004B2B65"/>
    <w:rsid w:val="004C1BBA"/>
    <w:rsid w:val="004C5096"/>
    <w:rsid w:val="004C7A35"/>
    <w:rsid w:val="004D24F6"/>
    <w:rsid w:val="004D28FC"/>
    <w:rsid w:val="004D3811"/>
    <w:rsid w:val="004D3D4F"/>
    <w:rsid w:val="004D5969"/>
    <w:rsid w:val="004D6636"/>
    <w:rsid w:val="004D6B9E"/>
    <w:rsid w:val="004D7E9C"/>
    <w:rsid w:val="004E0CC5"/>
    <w:rsid w:val="004E0DE2"/>
    <w:rsid w:val="004E1D06"/>
    <w:rsid w:val="004E2C8A"/>
    <w:rsid w:val="004E3B59"/>
    <w:rsid w:val="004E60ED"/>
    <w:rsid w:val="004E7D9D"/>
    <w:rsid w:val="004F078B"/>
    <w:rsid w:val="004F175E"/>
    <w:rsid w:val="004F1873"/>
    <w:rsid w:val="004F46ED"/>
    <w:rsid w:val="004F478C"/>
    <w:rsid w:val="004F6710"/>
    <w:rsid w:val="004F7BB5"/>
    <w:rsid w:val="004F7F5B"/>
    <w:rsid w:val="00500716"/>
    <w:rsid w:val="00502353"/>
    <w:rsid w:val="005055BC"/>
    <w:rsid w:val="0050613B"/>
    <w:rsid w:val="0050653E"/>
    <w:rsid w:val="005102D7"/>
    <w:rsid w:val="00510EA5"/>
    <w:rsid w:val="00511D4C"/>
    <w:rsid w:val="005124D3"/>
    <w:rsid w:val="00512ED8"/>
    <w:rsid w:val="00514936"/>
    <w:rsid w:val="00515313"/>
    <w:rsid w:val="0051538D"/>
    <w:rsid w:val="0051561E"/>
    <w:rsid w:val="005166E6"/>
    <w:rsid w:val="00516D9D"/>
    <w:rsid w:val="00517BAD"/>
    <w:rsid w:val="00520F3A"/>
    <w:rsid w:val="00521F30"/>
    <w:rsid w:val="00522DAD"/>
    <w:rsid w:val="00523FD1"/>
    <w:rsid w:val="00524052"/>
    <w:rsid w:val="0052532D"/>
    <w:rsid w:val="0052625C"/>
    <w:rsid w:val="005277AB"/>
    <w:rsid w:val="00527CAD"/>
    <w:rsid w:val="005332AF"/>
    <w:rsid w:val="005379CB"/>
    <w:rsid w:val="00537B33"/>
    <w:rsid w:val="00537E73"/>
    <w:rsid w:val="00541AC5"/>
    <w:rsid w:val="0054267B"/>
    <w:rsid w:val="00542BB2"/>
    <w:rsid w:val="0054301F"/>
    <w:rsid w:val="005438B0"/>
    <w:rsid w:val="00544FE7"/>
    <w:rsid w:val="00546226"/>
    <w:rsid w:val="00546CAA"/>
    <w:rsid w:val="00546EF3"/>
    <w:rsid w:val="0054735D"/>
    <w:rsid w:val="00547696"/>
    <w:rsid w:val="00551B79"/>
    <w:rsid w:val="00552F59"/>
    <w:rsid w:val="00553070"/>
    <w:rsid w:val="00553718"/>
    <w:rsid w:val="00553B31"/>
    <w:rsid w:val="005547DC"/>
    <w:rsid w:val="00554E29"/>
    <w:rsid w:val="00555155"/>
    <w:rsid w:val="00556D91"/>
    <w:rsid w:val="00557617"/>
    <w:rsid w:val="005579BB"/>
    <w:rsid w:val="0056066A"/>
    <w:rsid w:val="005615F7"/>
    <w:rsid w:val="005628D3"/>
    <w:rsid w:val="00562D6C"/>
    <w:rsid w:val="0056326E"/>
    <w:rsid w:val="0056653E"/>
    <w:rsid w:val="0056717A"/>
    <w:rsid w:val="005711A5"/>
    <w:rsid w:val="0057235C"/>
    <w:rsid w:val="00572D2D"/>
    <w:rsid w:val="0057306E"/>
    <w:rsid w:val="00574732"/>
    <w:rsid w:val="005757E3"/>
    <w:rsid w:val="0057679D"/>
    <w:rsid w:val="00577AC2"/>
    <w:rsid w:val="00581158"/>
    <w:rsid w:val="00582A0C"/>
    <w:rsid w:val="005848EF"/>
    <w:rsid w:val="00584EAF"/>
    <w:rsid w:val="00587194"/>
    <w:rsid w:val="00587661"/>
    <w:rsid w:val="00591518"/>
    <w:rsid w:val="005915A4"/>
    <w:rsid w:val="00591B04"/>
    <w:rsid w:val="00593634"/>
    <w:rsid w:val="0059390F"/>
    <w:rsid w:val="005971A6"/>
    <w:rsid w:val="005A05F0"/>
    <w:rsid w:val="005A13D0"/>
    <w:rsid w:val="005A1CCE"/>
    <w:rsid w:val="005A2E3A"/>
    <w:rsid w:val="005A4033"/>
    <w:rsid w:val="005A49F8"/>
    <w:rsid w:val="005A5844"/>
    <w:rsid w:val="005B1309"/>
    <w:rsid w:val="005C209E"/>
    <w:rsid w:val="005C33C1"/>
    <w:rsid w:val="005C3929"/>
    <w:rsid w:val="005C3CFB"/>
    <w:rsid w:val="005C417E"/>
    <w:rsid w:val="005C57CA"/>
    <w:rsid w:val="005C6D02"/>
    <w:rsid w:val="005C7035"/>
    <w:rsid w:val="005D0831"/>
    <w:rsid w:val="005D0D7B"/>
    <w:rsid w:val="005D2763"/>
    <w:rsid w:val="005D2BA0"/>
    <w:rsid w:val="005D3C8E"/>
    <w:rsid w:val="005D5300"/>
    <w:rsid w:val="005D76A8"/>
    <w:rsid w:val="005D7C2C"/>
    <w:rsid w:val="005D7C34"/>
    <w:rsid w:val="005E0354"/>
    <w:rsid w:val="005E1411"/>
    <w:rsid w:val="005E1ED9"/>
    <w:rsid w:val="005E211A"/>
    <w:rsid w:val="005E314C"/>
    <w:rsid w:val="005E36DF"/>
    <w:rsid w:val="005E69DF"/>
    <w:rsid w:val="005E6A0F"/>
    <w:rsid w:val="005E6DDD"/>
    <w:rsid w:val="005E6F2D"/>
    <w:rsid w:val="005F12AB"/>
    <w:rsid w:val="005F3691"/>
    <w:rsid w:val="005F4400"/>
    <w:rsid w:val="005F5FF7"/>
    <w:rsid w:val="005F6525"/>
    <w:rsid w:val="005F673A"/>
    <w:rsid w:val="005F7AFC"/>
    <w:rsid w:val="00600CF2"/>
    <w:rsid w:val="006028F2"/>
    <w:rsid w:val="00602B76"/>
    <w:rsid w:val="006032B5"/>
    <w:rsid w:val="00605C3F"/>
    <w:rsid w:val="00610AEB"/>
    <w:rsid w:val="00610F57"/>
    <w:rsid w:val="0061131E"/>
    <w:rsid w:val="0061221F"/>
    <w:rsid w:val="00613CBA"/>
    <w:rsid w:val="00613CFF"/>
    <w:rsid w:val="0061651D"/>
    <w:rsid w:val="00616E5A"/>
    <w:rsid w:val="006219B7"/>
    <w:rsid w:val="006242F6"/>
    <w:rsid w:val="00624A88"/>
    <w:rsid w:val="00624ACD"/>
    <w:rsid w:val="00625159"/>
    <w:rsid w:val="006316A5"/>
    <w:rsid w:val="0063237E"/>
    <w:rsid w:val="0063262B"/>
    <w:rsid w:val="00633946"/>
    <w:rsid w:val="006345B3"/>
    <w:rsid w:val="006371E1"/>
    <w:rsid w:val="00637670"/>
    <w:rsid w:val="00637AD9"/>
    <w:rsid w:val="00640E26"/>
    <w:rsid w:val="00641A59"/>
    <w:rsid w:val="00641B6D"/>
    <w:rsid w:val="00643F32"/>
    <w:rsid w:val="00645949"/>
    <w:rsid w:val="00647864"/>
    <w:rsid w:val="006478DE"/>
    <w:rsid w:val="0065035F"/>
    <w:rsid w:val="00654B48"/>
    <w:rsid w:val="006559AA"/>
    <w:rsid w:val="00655B87"/>
    <w:rsid w:val="00655BA5"/>
    <w:rsid w:val="00657E4B"/>
    <w:rsid w:val="00660E21"/>
    <w:rsid w:val="00661B29"/>
    <w:rsid w:val="006623FF"/>
    <w:rsid w:val="0066424A"/>
    <w:rsid w:val="00664BF9"/>
    <w:rsid w:val="0066504D"/>
    <w:rsid w:val="006650A6"/>
    <w:rsid w:val="00665D1F"/>
    <w:rsid w:val="0066706B"/>
    <w:rsid w:val="00667BBF"/>
    <w:rsid w:val="00670A69"/>
    <w:rsid w:val="006721AA"/>
    <w:rsid w:val="006740E4"/>
    <w:rsid w:val="00674251"/>
    <w:rsid w:val="0067464C"/>
    <w:rsid w:val="006746F0"/>
    <w:rsid w:val="006750B5"/>
    <w:rsid w:val="00685CC7"/>
    <w:rsid w:val="00685F1C"/>
    <w:rsid w:val="00686691"/>
    <w:rsid w:val="006873F5"/>
    <w:rsid w:val="00691D84"/>
    <w:rsid w:val="006925E6"/>
    <w:rsid w:val="00693991"/>
    <w:rsid w:val="00693F1E"/>
    <w:rsid w:val="00695179"/>
    <w:rsid w:val="00695715"/>
    <w:rsid w:val="00696986"/>
    <w:rsid w:val="00696D7B"/>
    <w:rsid w:val="006A097F"/>
    <w:rsid w:val="006A212E"/>
    <w:rsid w:val="006A2952"/>
    <w:rsid w:val="006A29A9"/>
    <w:rsid w:val="006A38D3"/>
    <w:rsid w:val="006A535B"/>
    <w:rsid w:val="006A552D"/>
    <w:rsid w:val="006A5C22"/>
    <w:rsid w:val="006B1182"/>
    <w:rsid w:val="006B12F2"/>
    <w:rsid w:val="006B26D2"/>
    <w:rsid w:val="006B470D"/>
    <w:rsid w:val="006B51C7"/>
    <w:rsid w:val="006B6E61"/>
    <w:rsid w:val="006B6FCF"/>
    <w:rsid w:val="006B78DD"/>
    <w:rsid w:val="006C03DB"/>
    <w:rsid w:val="006C15B8"/>
    <w:rsid w:val="006C185F"/>
    <w:rsid w:val="006C282A"/>
    <w:rsid w:val="006C3040"/>
    <w:rsid w:val="006C45A3"/>
    <w:rsid w:val="006D01DC"/>
    <w:rsid w:val="006D094D"/>
    <w:rsid w:val="006D0D2C"/>
    <w:rsid w:val="006D1446"/>
    <w:rsid w:val="006D175D"/>
    <w:rsid w:val="006D26A1"/>
    <w:rsid w:val="006D3FC5"/>
    <w:rsid w:val="006D5494"/>
    <w:rsid w:val="006D6650"/>
    <w:rsid w:val="006D67F2"/>
    <w:rsid w:val="006D6BD6"/>
    <w:rsid w:val="006E0D20"/>
    <w:rsid w:val="006E111B"/>
    <w:rsid w:val="006E18C4"/>
    <w:rsid w:val="006E1B96"/>
    <w:rsid w:val="006E3066"/>
    <w:rsid w:val="006E34BD"/>
    <w:rsid w:val="006E3500"/>
    <w:rsid w:val="006E3F4B"/>
    <w:rsid w:val="006E4B28"/>
    <w:rsid w:val="006E623F"/>
    <w:rsid w:val="006E6364"/>
    <w:rsid w:val="006E6536"/>
    <w:rsid w:val="006E7725"/>
    <w:rsid w:val="006E7CC7"/>
    <w:rsid w:val="006F05AA"/>
    <w:rsid w:val="006F0FA4"/>
    <w:rsid w:val="006F110E"/>
    <w:rsid w:val="006F25FC"/>
    <w:rsid w:val="006F4AD7"/>
    <w:rsid w:val="006F587F"/>
    <w:rsid w:val="006F6F22"/>
    <w:rsid w:val="00700EC3"/>
    <w:rsid w:val="0070157A"/>
    <w:rsid w:val="007016C1"/>
    <w:rsid w:val="00701A92"/>
    <w:rsid w:val="00702224"/>
    <w:rsid w:val="00703755"/>
    <w:rsid w:val="00703F5A"/>
    <w:rsid w:val="007041EF"/>
    <w:rsid w:val="00706445"/>
    <w:rsid w:val="00706B68"/>
    <w:rsid w:val="00707F35"/>
    <w:rsid w:val="007122B2"/>
    <w:rsid w:val="007143A7"/>
    <w:rsid w:val="00714E84"/>
    <w:rsid w:val="007212D3"/>
    <w:rsid w:val="007226C2"/>
    <w:rsid w:val="00722BC7"/>
    <w:rsid w:val="0072440E"/>
    <w:rsid w:val="00724D5B"/>
    <w:rsid w:val="0073052C"/>
    <w:rsid w:val="00730A44"/>
    <w:rsid w:val="00730D07"/>
    <w:rsid w:val="0073257D"/>
    <w:rsid w:val="0073268D"/>
    <w:rsid w:val="00733932"/>
    <w:rsid w:val="00733DB2"/>
    <w:rsid w:val="00733F08"/>
    <w:rsid w:val="00736168"/>
    <w:rsid w:val="00736B8F"/>
    <w:rsid w:val="00740B79"/>
    <w:rsid w:val="007411A4"/>
    <w:rsid w:val="00741590"/>
    <w:rsid w:val="007425A4"/>
    <w:rsid w:val="007429B4"/>
    <w:rsid w:val="0074388B"/>
    <w:rsid w:val="0074462A"/>
    <w:rsid w:val="007460CB"/>
    <w:rsid w:val="00747452"/>
    <w:rsid w:val="007507CE"/>
    <w:rsid w:val="00750F7F"/>
    <w:rsid w:val="00751356"/>
    <w:rsid w:val="007518E7"/>
    <w:rsid w:val="00751FCC"/>
    <w:rsid w:val="00755279"/>
    <w:rsid w:val="00757987"/>
    <w:rsid w:val="00757C33"/>
    <w:rsid w:val="007625C8"/>
    <w:rsid w:val="00762DC1"/>
    <w:rsid w:val="00762FA8"/>
    <w:rsid w:val="00763961"/>
    <w:rsid w:val="00765671"/>
    <w:rsid w:val="007662C1"/>
    <w:rsid w:val="00770B6C"/>
    <w:rsid w:val="00772534"/>
    <w:rsid w:val="00772AC9"/>
    <w:rsid w:val="00772ED5"/>
    <w:rsid w:val="00773A63"/>
    <w:rsid w:val="00774F8F"/>
    <w:rsid w:val="00775DEB"/>
    <w:rsid w:val="0077631B"/>
    <w:rsid w:val="00776D8D"/>
    <w:rsid w:val="00776F81"/>
    <w:rsid w:val="00781341"/>
    <w:rsid w:val="00782840"/>
    <w:rsid w:val="00784B96"/>
    <w:rsid w:val="0078510C"/>
    <w:rsid w:val="0078667B"/>
    <w:rsid w:val="0079087B"/>
    <w:rsid w:val="00790DCC"/>
    <w:rsid w:val="00791233"/>
    <w:rsid w:val="0079175E"/>
    <w:rsid w:val="00791986"/>
    <w:rsid w:val="00791EC6"/>
    <w:rsid w:val="0079390F"/>
    <w:rsid w:val="00794605"/>
    <w:rsid w:val="007949EA"/>
    <w:rsid w:val="007965E8"/>
    <w:rsid w:val="007A04F6"/>
    <w:rsid w:val="007A4333"/>
    <w:rsid w:val="007A47F6"/>
    <w:rsid w:val="007A4A34"/>
    <w:rsid w:val="007A4ADC"/>
    <w:rsid w:val="007A4AEF"/>
    <w:rsid w:val="007A6308"/>
    <w:rsid w:val="007A652A"/>
    <w:rsid w:val="007A6901"/>
    <w:rsid w:val="007A697A"/>
    <w:rsid w:val="007A6EF1"/>
    <w:rsid w:val="007B0947"/>
    <w:rsid w:val="007B1413"/>
    <w:rsid w:val="007B2738"/>
    <w:rsid w:val="007B3AA7"/>
    <w:rsid w:val="007B4B6A"/>
    <w:rsid w:val="007B52F9"/>
    <w:rsid w:val="007B54BA"/>
    <w:rsid w:val="007B6095"/>
    <w:rsid w:val="007B78B9"/>
    <w:rsid w:val="007C101D"/>
    <w:rsid w:val="007C1423"/>
    <w:rsid w:val="007C1E80"/>
    <w:rsid w:val="007C3206"/>
    <w:rsid w:val="007C6B5F"/>
    <w:rsid w:val="007C7D84"/>
    <w:rsid w:val="007C7E5B"/>
    <w:rsid w:val="007E0BA1"/>
    <w:rsid w:val="007E0D9A"/>
    <w:rsid w:val="007E1FFC"/>
    <w:rsid w:val="007E2382"/>
    <w:rsid w:val="007E23CD"/>
    <w:rsid w:val="007E2839"/>
    <w:rsid w:val="007E4883"/>
    <w:rsid w:val="007E4EC0"/>
    <w:rsid w:val="007E5271"/>
    <w:rsid w:val="007E664E"/>
    <w:rsid w:val="007F0212"/>
    <w:rsid w:val="007F1099"/>
    <w:rsid w:val="007F1859"/>
    <w:rsid w:val="007F4ABA"/>
    <w:rsid w:val="007F5AE1"/>
    <w:rsid w:val="007F7CB9"/>
    <w:rsid w:val="00801866"/>
    <w:rsid w:val="00802ED3"/>
    <w:rsid w:val="0080438A"/>
    <w:rsid w:val="0080795E"/>
    <w:rsid w:val="0081097E"/>
    <w:rsid w:val="00811CED"/>
    <w:rsid w:val="008143B8"/>
    <w:rsid w:val="00814CFB"/>
    <w:rsid w:val="00815663"/>
    <w:rsid w:val="00816123"/>
    <w:rsid w:val="0081662B"/>
    <w:rsid w:val="008209C4"/>
    <w:rsid w:val="00821E43"/>
    <w:rsid w:val="00822737"/>
    <w:rsid w:val="00823C35"/>
    <w:rsid w:val="00824405"/>
    <w:rsid w:val="00824F1E"/>
    <w:rsid w:val="008272DD"/>
    <w:rsid w:val="008322B1"/>
    <w:rsid w:val="00832B21"/>
    <w:rsid w:val="00832FDD"/>
    <w:rsid w:val="008337B1"/>
    <w:rsid w:val="00833B06"/>
    <w:rsid w:val="0083428E"/>
    <w:rsid w:val="0083509E"/>
    <w:rsid w:val="00836CF1"/>
    <w:rsid w:val="008377EB"/>
    <w:rsid w:val="0084022D"/>
    <w:rsid w:val="00841000"/>
    <w:rsid w:val="008421BF"/>
    <w:rsid w:val="008438C8"/>
    <w:rsid w:val="00843B0D"/>
    <w:rsid w:val="00844663"/>
    <w:rsid w:val="008508DA"/>
    <w:rsid w:val="00857761"/>
    <w:rsid w:val="00860B13"/>
    <w:rsid w:val="00862324"/>
    <w:rsid w:val="0086281F"/>
    <w:rsid w:val="00862CE2"/>
    <w:rsid w:val="00863BC9"/>
    <w:rsid w:val="00865107"/>
    <w:rsid w:val="00865FC6"/>
    <w:rsid w:val="00866232"/>
    <w:rsid w:val="0086778C"/>
    <w:rsid w:val="0087046F"/>
    <w:rsid w:val="00871FE5"/>
    <w:rsid w:val="008762BE"/>
    <w:rsid w:val="00877CBD"/>
    <w:rsid w:val="00882916"/>
    <w:rsid w:val="00883034"/>
    <w:rsid w:val="008836BA"/>
    <w:rsid w:val="00884BB7"/>
    <w:rsid w:val="00884F78"/>
    <w:rsid w:val="00885381"/>
    <w:rsid w:val="0088551A"/>
    <w:rsid w:val="00886C51"/>
    <w:rsid w:val="00890641"/>
    <w:rsid w:val="008908E5"/>
    <w:rsid w:val="0089114D"/>
    <w:rsid w:val="0089177C"/>
    <w:rsid w:val="008917D5"/>
    <w:rsid w:val="00891C94"/>
    <w:rsid w:val="00891D37"/>
    <w:rsid w:val="00892A32"/>
    <w:rsid w:val="00893144"/>
    <w:rsid w:val="008935A8"/>
    <w:rsid w:val="008937A4"/>
    <w:rsid w:val="0089432B"/>
    <w:rsid w:val="00894965"/>
    <w:rsid w:val="00894FBC"/>
    <w:rsid w:val="00895036"/>
    <w:rsid w:val="008972F4"/>
    <w:rsid w:val="00897C88"/>
    <w:rsid w:val="008A0E14"/>
    <w:rsid w:val="008A1A92"/>
    <w:rsid w:val="008A44F9"/>
    <w:rsid w:val="008A46E4"/>
    <w:rsid w:val="008A48ED"/>
    <w:rsid w:val="008A53D4"/>
    <w:rsid w:val="008A56EB"/>
    <w:rsid w:val="008A5875"/>
    <w:rsid w:val="008A7075"/>
    <w:rsid w:val="008A76A2"/>
    <w:rsid w:val="008B0CF2"/>
    <w:rsid w:val="008B1394"/>
    <w:rsid w:val="008B1748"/>
    <w:rsid w:val="008B17C3"/>
    <w:rsid w:val="008B4648"/>
    <w:rsid w:val="008B5000"/>
    <w:rsid w:val="008B51D2"/>
    <w:rsid w:val="008B555B"/>
    <w:rsid w:val="008B5767"/>
    <w:rsid w:val="008C09BC"/>
    <w:rsid w:val="008C19C3"/>
    <w:rsid w:val="008C214B"/>
    <w:rsid w:val="008C4BC2"/>
    <w:rsid w:val="008C7953"/>
    <w:rsid w:val="008D05B4"/>
    <w:rsid w:val="008D088C"/>
    <w:rsid w:val="008D10E6"/>
    <w:rsid w:val="008D1F9B"/>
    <w:rsid w:val="008D248A"/>
    <w:rsid w:val="008D3D2F"/>
    <w:rsid w:val="008D7F46"/>
    <w:rsid w:val="008E06BD"/>
    <w:rsid w:val="008E0913"/>
    <w:rsid w:val="008E0EE8"/>
    <w:rsid w:val="008E2ECB"/>
    <w:rsid w:val="008E325E"/>
    <w:rsid w:val="008E4714"/>
    <w:rsid w:val="008F0E0C"/>
    <w:rsid w:val="008F0F03"/>
    <w:rsid w:val="008F1D04"/>
    <w:rsid w:val="008F5221"/>
    <w:rsid w:val="008F5748"/>
    <w:rsid w:val="00900853"/>
    <w:rsid w:val="0090334A"/>
    <w:rsid w:val="009036E5"/>
    <w:rsid w:val="00903ECB"/>
    <w:rsid w:val="00904800"/>
    <w:rsid w:val="009059AF"/>
    <w:rsid w:val="00912EEF"/>
    <w:rsid w:val="009163C8"/>
    <w:rsid w:val="00916417"/>
    <w:rsid w:val="0091766E"/>
    <w:rsid w:val="00917EF6"/>
    <w:rsid w:val="00920187"/>
    <w:rsid w:val="009203E0"/>
    <w:rsid w:val="00921287"/>
    <w:rsid w:val="00925128"/>
    <w:rsid w:val="0093007A"/>
    <w:rsid w:val="00931FE8"/>
    <w:rsid w:val="00932CC9"/>
    <w:rsid w:val="00933348"/>
    <w:rsid w:val="00934577"/>
    <w:rsid w:val="00934A0C"/>
    <w:rsid w:val="009367B2"/>
    <w:rsid w:val="00937012"/>
    <w:rsid w:val="00937A73"/>
    <w:rsid w:val="00940565"/>
    <w:rsid w:val="00942614"/>
    <w:rsid w:val="00942E93"/>
    <w:rsid w:val="0094441A"/>
    <w:rsid w:val="00947E25"/>
    <w:rsid w:val="00954CD8"/>
    <w:rsid w:val="00954EB7"/>
    <w:rsid w:val="00956EAE"/>
    <w:rsid w:val="00957008"/>
    <w:rsid w:val="00960BCE"/>
    <w:rsid w:val="00960C80"/>
    <w:rsid w:val="00960E15"/>
    <w:rsid w:val="00964D17"/>
    <w:rsid w:val="009658E4"/>
    <w:rsid w:val="00965A1C"/>
    <w:rsid w:val="00965D94"/>
    <w:rsid w:val="009667BE"/>
    <w:rsid w:val="00967409"/>
    <w:rsid w:val="00967922"/>
    <w:rsid w:val="00967E40"/>
    <w:rsid w:val="00970F18"/>
    <w:rsid w:val="00973A1C"/>
    <w:rsid w:val="00973E7E"/>
    <w:rsid w:val="00975FA8"/>
    <w:rsid w:val="009764AE"/>
    <w:rsid w:val="00976EA7"/>
    <w:rsid w:val="00977894"/>
    <w:rsid w:val="009803FB"/>
    <w:rsid w:val="00980ECA"/>
    <w:rsid w:val="00981A2E"/>
    <w:rsid w:val="00982679"/>
    <w:rsid w:val="00984F50"/>
    <w:rsid w:val="009855DB"/>
    <w:rsid w:val="00986933"/>
    <w:rsid w:val="009869B2"/>
    <w:rsid w:val="009879B9"/>
    <w:rsid w:val="0099002F"/>
    <w:rsid w:val="009911CE"/>
    <w:rsid w:val="00994B43"/>
    <w:rsid w:val="00994D1D"/>
    <w:rsid w:val="00996DB9"/>
    <w:rsid w:val="00997C46"/>
    <w:rsid w:val="00997DDD"/>
    <w:rsid w:val="009A14DB"/>
    <w:rsid w:val="009A3457"/>
    <w:rsid w:val="009A398B"/>
    <w:rsid w:val="009A3DB4"/>
    <w:rsid w:val="009A3F6F"/>
    <w:rsid w:val="009B127A"/>
    <w:rsid w:val="009B19DB"/>
    <w:rsid w:val="009B2B4E"/>
    <w:rsid w:val="009B32C8"/>
    <w:rsid w:val="009B3887"/>
    <w:rsid w:val="009B4F85"/>
    <w:rsid w:val="009B50E1"/>
    <w:rsid w:val="009B5802"/>
    <w:rsid w:val="009B5AD4"/>
    <w:rsid w:val="009B5CA9"/>
    <w:rsid w:val="009B7D25"/>
    <w:rsid w:val="009C0B61"/>
    <w:rsid w:val="009C0C38"/>
    <w:rsid w:val="009C19FA"/>
    <w:rsid w:val="009C1D5B"/>
    <w:rsid w:val="009C2D2B"/>
    <w:rsid w:val="009C37AB"/>
    <w:rsid w:val="009C4DE0"/>
    <w:rsid w:val="009C582D"/>
    <w:rsid w:val="009C5DD3"/>
    <w:rsid w:val="009C6985"/>
    <w:rsid w:val="009D03B1"/>
    <w:rsid w:val="009D0524"/>
    <w:rsid w:val="009D0605"/>
    <w:rsid w:val="009D2442"/>
    <w:rsid w:val="009D33DE"/>
    <w:rsid w:val="009D3445"/>
    <w:rsid w:val="009D53DB"/>
    <w:rsid w:val="009D5E99"/>
    <w:rsid w:val="009D6231"/>
    <w:rsid w:val="009D7220"/>
    <w:rsid w:val="009D739F"/>
    <w:rsid w:val="009D7F81"/>
    <w:rsid w:val="009E474C"/>
    <w:rsid w:val="009E4B7B"/>
    <w:rsid w:val="009E5428"/>
    <w:rsid w:val="009E6C29"/>
    <w:rsid w:val="009E79AA"/>
    <w:rsid w:val="009F01F2"/>
    <w:rsid w:val="009F10EF"/>
    <w:rsid w:val="009F1669"/>
    <w:rsid w:val="009F1E12"/>
    <w:rsid w:val="009F2572"/>
    <w:rsid w:val="009F29D2"/>
    <w:rsid w:val="009F2F77"/>
    <w:rsid w:val="009F4C16"/>
    <w:rsid w:val="009F56FB"/>
    <w:rsid w:val="009F7DF7"/>
    <w:rsid w:val="00A01233"/>
    <w:rsid w:val="00A015F2"/>
    <w:rsid w:val="00A024E6"/>
    <w:rsid w:val="00A025C3"/>
    <w:rsid w:val="00A0269C"/>
    <w:rsid w:val="00A03378"/>
    <w:rsid w:val="00A03616"/>
    <w:rsid w:val="00A03EE6"/>
    <w:rsid w:val="00A0681B"/>
    <w:rsid w:val="00A07B2F"/>
    <w:rsid w:val="00A11B6F"/>
    <w:rsid w:val="00A12390"/>
    <w:rsid w:val="00A1283A"/>
    <w:rsid w:val="00A13F77"/>
    <w:rsid w:val="00A140B1"/>
    <w:rsid w:val="00A14B49"/>
    <w:rsid w:val="00A1555C"/>
    <w:rsid w:val="00A16A4D"/>
    <w:rsid w:val="00A1786C"/>
    <w:rsid w:val="00A17AC7"/>
    <w:rsid w:val="00A2045D"/>
    <w:rsid w:val="00A20BDD"/>
    <w:rsid w:val="00A2379E"/>
    <w:rsid w:val="00A2495D"/>
    <w:rsid w:val="00A24E9D"/>
    <w:rsid w:val="00A25A0F"/>
    <w:rsid w:val="00A25BEE"/>
    <w:rsid w:val="00A26B7C"/>
    <w:rsid w:val="00A27720"/>
    <w:rsid w:val="00A27A61"/>
    <w:rsid w:val="00A30340"/>
    <w:rsid w:val="00A31E38"/>
    <w:rsid w:val="00A33719"/>
    <w:rsid w:val="00A3462B"/>
    <w:rsid w:val="00A34706"/>
    <w:rsid w:val="00A3473C"/>
    <w:rsid w:val="00A364DD"/>
    <w:rsid w:val="00A36B7D"/>
    <w:rsid w:val="00A405BE"/>
    <w:rsid w:val="00A4407B"/>
    <w:rsid w:val="00A44E8D"/>
    <w:rsid w:val="00A463BB"/>
    <w:rsid w:val="00A46D00"/>
    <w:rsid w:val="00A47F97"/>
    <w:rsid w:val="00A518E9"/>
    <w:rsid w:val="00A51BD1"/>
    <w:rsid w:val="00A52A47"/>
    <w:rsid w:val="00A53880"/>
    <w:rsid w:val="00A54991"/>
    <w:rsid w:val="00A577F4"/>
    <w:rsid w:val="00A604F3"/>
    <w:rsid w:val="00A6141C"/>
    <w:rsid w:val="00A63A41"/>
    <w:rsid w:val="00A647DA"/>
    <w:rsid w:val="00A65088"/>
    <w:rsid w:val="00A660B4"/>
    <w:rsid w:val="00A66FF6"/>
    <w:rsid w:val="00A7141B"/>
    <w:rsid w:val="00A721C5"/>
    <w:rsid w:val="00A75F11"/>
    <w:rsid w:val="00A77367"/>
    <w:rsid w:val="00A80636"/>
    <w:rsid w:val="00A80DA3"/>
    <w:rsid w:val="00A80DDF"/>
    <w:rsid w:val="00A8275A"/>
    <w:rsid w:val="00A87BEB"/>
    <w:rsid w:val="00A87D5B"/>
    <w:rsid w:val="00A87EBB"/>
    <w:rsid w:val="00A9129B"/>
    <w:rsid w:val="00A91D65"/>
    <w:rsid w:val="00A938FD"/>
    <w:rsid w:val="00A93FBA"/>
    <w:rsid w:val="00A94615"/>
    <w:rsid w:val="00A9479D"/>
    <w:rsid w:val="00A95238"/>
    <w:rsid w:val="00A9571C"/>
    <w:rsid w:val="00A96F40"/>
    <w:rsid w:val="00A97317"/>
    <w:rsid w:val="00AA0B3A"/>
    <w:rsid w:val="00AA17E3"/>
    <w:rsid w:val="00AA2781"/>
    <w:rsid w:val="00AA2B43"/>
    <w:rsid w:val="00AA36C3"/>
    <w:rsid w:val="00AA429D"/>
    <w:rsid w:val="00AA5F37"/>
    <w:rsid w:val="00AB0CB3"/>
    <w:rsid w:val="00AB10F8"/>
    <w:rsid w:val="00AB21DF"/>
    <w:rsid w:val="00AB72C9"/>
    <w:rsid w:val="00AC2AD9"/>
    <w:rsid w:val="00AC672B"/>
    <w:rsid w:val="00AC6A6E"/>
    <w:rsid w:val="00AD131A"/>
    <w:rsid w:val="00AD14E8"/>
    <w:rsid w:val="00AD1A0A"/>
    <w:rsid w:val="00AD3B19"/>
    <w:rsid w:val="00AD49F6"/>
    <w:rsid w:val="00AD5EA7"/>
    <w:rsid w:val="00AD73F6"/>
    <w:rsid w:val="00AD7E63"/>
    <w:rsid w:val="00AE1979"/>
    <w:rsid w:val="00AE30BD"/>
    <w:rsid w:val="00AE3703"/>
    <w:rsid w:val="00AE497B"/>
    <w:rsid w:val="00AE4B8B"/>
    <w:rsid w:val="00AE5D64"/>
    <w:rsid w:val="00AE6E28"/>
    <w:rsid w:val="00AE7CDB"/>
    <w:rsid w:val="00AF083C"/>
    <w:rsid w:val="00AF0E5F"/>
    <w:rsid w:val="00AF21D9"/>
    <w:rsid w:val="00AF295F"/>
    <w:rsid w:val="00AF29CE"/>
    <w:rsid w:val="00AF34DD"/>
    <w:rsid w:val="00AF452A"/>
    <w:rsid w:val="00AF4A41"/>
    <w:rsid w:val="00AF78BF"/>
    <w:rsid w:val="00AF7984"/>
    <w:rsid w:val="00B00DDE"/>
    <w:rsid w:val="00B03D51"/>
    <w:rsid w:val="00B04BD9"/>
    <w:rsid w:val="00B04E49"/>
    <w:rsid w:val="00B0702F"/>
    <w:rsid w:val="00B11C9E"/>
    <w:rsid w:val="00B12DC2"/>
    <w:rsid w:val="00B13585"/>
    <w:rsid w:val="00B13BEF"/>
    <w:rsid w:val="00B13E85"/>
    <w:rsid w:val="00B14212"/>
    <w:rsid w:val="00B17314"/>
    <w:rsid w:val="00B17AF1"/>
    <w:rsid w:val="00B20211"/>
    <w:rsid w:val="00B20402"/>
    <w:rsid w:val="00B21E18"/>
    <w:rsid w:val="00B2290B"/>
    <w:rsid w:val="00B22E3E"/>
    <w:rsid w:val="00B23ABE"/>
    <w:rsid w:val="00B27112"/>
    <w:rsid w:val="00B272C2"/>
    <w:rsid w:val="00B31108"/>
    <w:rsid w:val="00B33903"/>
    <w:rsid w:val="00B35D90"/>
    <w:rsid w:val="00B40013"/>
    <w:rsid w:val="00B408B4"/>
    <w:rsid w:val="00B40D0E"/>
    <w:rsid w:val="00B40D42"/>
    <w:rsid w:val="00B420FD"/>
    <w:rsid w:val="00B42CB9"/>
    <w:rsid w:val="00B43A57"/>
    <w:rsid w:val="00B44225"/>
    <w:rsid w:val="00B467A7"/>
    <w:rsid w:val="00B46D3C"/>
    <w:rsid w:val="00B502E8"/>
    <w:rsid w:val="00B50895"/>
    <w:rsid w:val="00B51A41"/>
    <w:rsid w:val="00B53D96"/>
    <w:rsid w:val="00B56DAC"/>
    <w:rsid w:val="00B5773C"/>
    <w:rsid w:val="00B62526"/>
    <w:rsid w:val="00B6656E"/>
    <w:rsid w:val="00B670BA"/>
    <w:rsid w:val="00B67E8E"/>
    <w:rsid w:val="00B71C54"/>
    <w:rsid w:val="00B72FDC"/>
    <w:rsid w:val="00B72FE0"/>
    <w:rsid w:val="00B75BE2"/>
    <w:rsid w:val="00B8082C"/>
    <w:rsid w:val="00B813E5"/>
    <w:rsid w:val="00B82C14"/>
    <w:rsid w:val="00B85F35"/>
    <w:rsid w:val="00B8771E"/>
    <w:rsid w:val="00B9203F"/>
    <w:rsid w:val="00B92E1F"/>
    <w:rsid w:val="00B94854"/>
    <w:rsid w:val="00B94CA6"/>
    <w:rsid w:val="00B95862"/>
    <w:rsid w:val="00B97AC8"/>
    <w:rsid w:val="00BA09AD"/>
    <w:rsid w:val="00BA11A9"/>
    <w:rsid w:val="00BA173A"/>
    <w:rsid w:val="00BA1A36"/>
    <w:rsid w:val="00BA2ADB"/>
    <w:rsid w:val="00BA30E9"/>
    <w:rsid w:val="00BA407F"/>
    <w:rsid w:val="00BA5594"/>
    <w:rsid w:val="00BA578C"/>
    <w:rsid w:val="00BA6388"/>
    <w:rsid w:val="00BA6520"/>
    <w:rsid w:val="00BB03DF"/>
    <w:rsid w:val="00BB35C5"/>
    <w:rsid w:val="00BB4A63"/>
    <w:rsid w:val="00BB77AE"/>
    <w:rsid w:val="00BB7BEC"/>
    <w:rsid w:val="00BC2224"/>
    <w:rsid w:val="00BC45A7"/>
    <w:rsid w:val="00BC6EE6"/>
    <w:rsid w:val="00BD0C1E"/>
    <w:rsid w:val="00BD16AA"/>
    <w:rsid w:val="00BD2C66"/>
    <w:rsid w:val="00BD4C15"/>
    <w:rsid w:val="00BD5363"/>
    <w:rsid w:val="00BD572B"/>
    <w:rsid w:val="00BD5FB3"/>
    <w:rsid w:val="00BD79C5"/>
    <w:rsid w:val="00BE0790"/>
    <w:rsid w:val="00BE08D1"/>
    <w:rsid w:val="00BE1692"/>
    <w:rsid w:val="00BE2578"/>
    <w:rsid w:val="00BE52ED"/>
    <w:rsid w:val="00BE6BFB"/>
    <w:rsid w:val="00BF1145"/>
    <w:rsid w:val="00BF1344"/>
    <w:rsid w:val="00BF1A9E"/>
    <w:rsid w:val="00BF1E72"/>
    <w:rsid w:val="00BF251B"/>
    <w:rsid w:val="00BF4D18"/>
    <w:rsid w:val="00BF4F58"/>
    <w:rsid w:val="00C0335B"/>
    <w:rsid w:val="00C03D85"/>
    <w:rsid w:val="00C03F37"/>
    <w:rsid w:val="00C05D7B"/>
    <w:rsid w:val="00C06899"/>
    <w:rsid w:val="00C07797"/>
    <w:rsid w:val="00C10ECF"/>
    <w:rsid w:val="00C1118E"/>
    <w:rsid w:val="00C15D8B"/>
    <w:rsid w:val="00C15DCC"/>
    <w:rsid w:val="00C15FE0"/>
    <w:rsid w:val="00C1692D"/>
    <w:rsid w:val="00C1697D"/>
    <w:rsid w:val="00C22B43"/>
    <w:rsid w:val="00C234C7"/>
    <w:rsid w:val="00C2376E"/>
    <w:rsid w:val="00C239FB"/>
    <w:rsid w:val="00C24DAA"/>
    <w:rsid w:val="00C2572A"/>
    <w:rsid w:val="00C25BC1"/>
    <w:rsid w:val="00C2679C"/>
    <w:rsid w:val="00C26F46"/>
    <w:rsid w:val="00C273D0"/>
    <w:rsid w:val="00C3033F"/>
    <w:rsid w:val="00C3440B"/>
    <w:rsid w:val="00C34EAF"/>
    <w:rsid w:val="00C36EB6"/>
    <w:rsid w:val="00C37DBE"/>
    <w:rsid w:val="00C40028"/>
    <w:rsid w:val="00C4046C"/>
    <w:rsid w:val="00C413CF"/>
    <w:rsid w:val="00C41D89"/>
    <w:rsid w:val="00C42E4F"/>
    <w:rsid w:val="00C45F5B"/>
    <w:rsid w:val="00C46AD4"/>
    <w:rsid w:val="00C47F38"/>
    <w:rsid w:val="00C50ADE"/>
    <w:rsid w:val="00C510C8"/>
    <w:rsid w:val="00C5206F"/>
    <w:rsid w:val="00C55264"/>
    <w:rsid w:val="00C5616F"/>
    <w:rsid w:val="00C56368"/>
    <w:rsid w:val="00C56A0B"/>
    <w:rsid w:val="00C56D16"/>
    <w:rsid w:val="00C56E4D"/>
    <w:rsid w:val="00C579DA"/>
    <w:rsid w:val="00C61376"/>
    <w:rsid w:val="00C6142F"/>
    <w:rsid w:val="00C61832"/>
    <w:rsid w:val="00C6202C"/>
    <w:rsid w:val="00C62BB3"/>
    <w:rsid w:val="00C67525"/>
    <w:rsid w:val="00C67865"/>
    <w:rsid w:val="00C707E7"/>
    <w:rsid w:val="00C707EF"/>
    <w:rsid w:val="00C7109E"/>
    <w:rsid w:val="00C7118F"/>
    <w:rsid w:val="00C71924"/>
    <w:rsid w:val="00C71D29"/>
    <w:rsid w:val="00C7388C"/>
    <w:rsid w:val="00C74612"/>
    <w:rsid w:val="00C74F4E"/>
    <w:rsid w:val="00C750A1"/>
    <w:rsid w:val="00C762DD"/>
    <w:rsid w:val="00C76A26"/>
    <w:rsid w:val="00C7741F"/>
    <w:rsid w:val="00C82A21"/>
    <w:rsid w:val="00C867F3"/>
    <w:rsid w:val="00C86B7F"/>
    <w:rsid w:val="00C879B8"/>
    <w:rsid w:val="00C9023E"/>
    <w:rsid w:val="00C91149"/>
    <w:rsid w:val="00C921AA"/>
    <w:rsid w:val="00C92473"/>
    <w:rsid w:val="00C93409"/>
    <w:rsid w:val="00C9417D"/>
    <w:rsid w:val="00C94A06"/>
    <w:rsid w:val="00C95A75"/>
    <w:rsid w:val="00C96933"/>
    <w:rsid w:val="00CA05A2"/>
    <w:rsid w:val="00CA07DF"/>
    <w:rsid w:val="00CA0840"/>
    <w:rsid w:val="00CA0B59"/>
    <w:rsid w:val="00CA1AF1"/>
    <w:rsid w:val="00CA1E17"/>
    <w:rsid w:val="00CA230A"/>
    <w:rsid w:val="00CA3F47"/>
    <w:rsid w:val="00CA4033"/>
    <w:rsid w:val="00CA46CB"/>
    <w:rsid w:val="00CA5BDA"/>
    <w:rsid w:val="00CA5F80"/>
    <w:rsid w:val="00CA7555"/>
    <w:rsid w:val="00CB1268"/>
    <w:rsid w:val="00CB2272"/>
    <w:rsid w:val="00CB3DA8"/>
    <w:rsid w:val="00CB6751"/>
    <w:rsid w:val="00CB78AE"/>
    <w:rsid w:val="00CC02E4"/>
    <w:rsid w:val="00CC0600"/>
    <w:rsid w:val="00CC0FA8"/>
    <w:rsid w:val="00CC1B7C"/>
    <w:rsid w:val="00CC2182"/>
    <w:rsid w:val="00CC2346"/>
    <w:rsid w:val="00CC2671"/>
    <w:rsid w:val="00CC2FF7"/>
    <w:rsid w:val="00CC3E6D"/>
    <w:rsid w:val="00CC5958"/>
    <w:rsid w:val="00CC5CB0"/>
    <w:rsid w:val="00CD060F"/>
    <w:rsid w:val="00CD0F2D"/>
    <w:rsid w:val="00CD1974"/>
    <w:rsid w:val="00CD305F"/>
    <w:rsid w:val="00CD31A2"/>
    <w:rsid w:val="00CD33F2"/>
    <w:rsid w:val="00CD53F7"/>
    <w:rsid w:val="00CD5B8D"/>
    <w:rsid w:val="00CD6995"/>
    <w:rsid w:val="00CD7413"/>
    <w:rsid w:val="00CD7846"/>
    <w:rsid w:val="00CE1B6D"/>
    <w:rsid w:val="00CE2CA6"/>
    <w:rsid w:val="00CE3C90"/>
    <w:rsid w:val="00CE5D41"/>
    <w:rsid w:val="00CE6B43"/>
    <w:rsid w:val="00CF1728"/>
    <w:rsid w:val="00CF3631"/>
    <w:rsid w:val="00CF39EB"/>
    <w:rsid w:val="00CF512A"/>
    <w:rsid w:val="00CF5777"/>
    <w:rsid w:val="00CF6014"/>
    <w:rsid w:val="00CF6401"/>
    <w:rsid w:val="00CF64F1"/>
    <w:rsid w:val="00CF6A65"/>
    <w:rsid w:val="00CF7733"/>
    <w:rsid w:val="00CF777D"/>
    <w:rsid w:val="00D01120"/>
    <w:rsid w:val="00D01522"/>
    <w:rsid w:val="00D018E5"/>
    <w:rsid w:val="00D01E36"/>
    <w:rsid w:val="00D03777"/>
    <w:rsid w:val="00D039F0"/>
    <w:rsid w:val="00D039FD"/>
    <w:rsid w:val="00D03B77"/>
    <w:rsid w:val="00D04583"/>
    <w:rsid w:val="00D062F8"/>
    <w:rsid w:val="00D0642D"/>
    <w:rsid w:val="00D06A23"/>
    <w:rsid w:val="00D06C0A"/>
    <w:rsid w:val="00D1005E"/>
    <w:rsid w:val="00D10EF0"/>
    <w:rsid w:val="00D125D7"/>
    <w:rsid w:val="00D1327A"/>
    <w:rsid w:val="00D13B8B"/>
    <w:rsid w:val="00D1676F"/>
    <w:rsid w:val="00D175D1"/>
    <w:rsid w:val="00D17A06"/>
    <w:rsid w:val="00D2026F"/>
    <w:rsid w:val="00D212F8"/>
    <w:rsid w:val="00D22783"/>
    <w:rsid w:val="00D240ED"/>
    <w:rsid w:val="00D245AE"/>
    <w:rsid w:val="00D248F5"/>
    <w:rsid w:val="00D24903"/>
    <w:rsid w:val="00D32221"/>
    <w:rsid w:val="00D33F8A"/>
    <w:rsid w:val="00D351E5"/>
    <w:rsid w:val="00D3564B"/>
    <w:rsid w:val="00D3594E"/>
    <w:rsid w:val="00D361F6"/>
    <w:rsid w:val="00D37C4C"/>
    <w:rsid w:val="00D37E8B"/>
    <w:rsid w:val="00D40695"/>
    <w:rsid w:val="00D40700"/>
    <w:rsid w:val="00D40CDD"/>
    <w:rsid w:val="00D433B5"/>
    <w:rsid w:val="00D44B1D"/>
    <w:rsid w:val="00D45D50"/>
    <w:rsid w:val="00D47B98"/>
    <w:rsid w:val="00D47BB1"/>
    <w:rsid w:val="00D515E2"/>
    <w:rsid w:val="00D52BDF"/>
    <w:rsid w:val="00D60E22"/>
    <w:rsid w:val="00D61EA4"/>
    <w:rsid w:val="00D62707"/>
    <w:rsid w:val="00D64BB9"/>
    <w:rsid w:val="00D64D80"/>
    <w:rsid w:val="00D650C5"/>
    <w:rsid w:val="00D65FE7"/>
    <w:rsid w:val="00D713F1"/>
    <w:rsid w:val="00D72235"/>
    <w:rsid w:val="00D7383B"/>
    <w:rsid w:val="00D73C2A"/>
    <w:rsid w:val="00D76F50"/>
    <w:rsid w:val="00D7746B"/>
    <w:rsid w:val="00D77868"/>
    <w:rsid w:val="00D830A7"/>
    <w:rsid w:val="00D83B31"/>
    <w:rsid w:val="00D84026"/>
    <w:rsid w:val="00D8463E"/>
    <w:rsid w:val="00D85597"/>
    <w:rsid w:val="00D85AEE"/>
    <w:rsid w:val="00D85E3A"/>
    <w:rsid w:val="00D86FFC"/>
    <w:rsid w:val="00D87ADD"/>
    <w:rsid w:val="00D920EE"/>
    <w:rsid w:val="00D92579"/>
    <w:rsid w:val="00D9304D"/>
    <w:rsid w:val="00D94EF8"/>
    <w:rsid w:val="00D965D8"/>
    <w:rsid w:val="00D96D2D"/>
    <w:rsid w:val="00D96E85"/>
    <w:rsid w:val="00D97D21"/>
    <w:rsid w:val="00DA04C1"/>
    <w:rsid w:val="00DA04DA"/>
    <w:rsid w:val="00DA2124"/>
    <w:rsid w:val="00DA3208"/>
    <w:rsid w:val="00DA43C8"/>
    <w:rsid w:val="00DA6C02"/>
    <w:rsid w:val="00DA742F"/>
    <w:rsid w:val="00DA779A"/>
    <w:rsid w:val="00DA7DED"/>
    <w:rsid w:val="00DB0937"/>
    <w:rsid w:val="00DB0BD5"/>
    <w:rsid w:val="00DB1B4C"/>
    <w:rsid w:val="00DB2491"/>
    <w:rsid w:val="00DB2DB8"/>
    <w:rsid w:val="00DB2E1C"/>
    <w:rsid w:val="00DB7CE9"/>
    <w:rsid w:val="00DC0547"/>
    <w:rsid w:val="00DC0999"/>
    <w:rsid w:val="00DC2C7D"/>
    <w:rsid w:val="00DC3A9D"/>
    <w:rsid w:val="00DC4B62"/>
    <w:rsid w:val="00DC50B8"/>
    <w:rsid w:val="00DC53B3"/>
    <w:rsid w:val="00DC57F4"/>
    <w:rsid w:val="00DC6D5D"/>
    <w:rsid w:val="00DC7305"/>
    <w:rsid w:val="00DD1A55"/>
    <w:rsid w:val="00DD1B19"/>
    <w:rsid w:val="00DD1B20"/>
    <w:rsid w:val="00DD2273"/>
    <w:rsid w:val="00DD5950"/>
    <w:rsid w:val="00DD5F50"/>
    <w:rsid w:val="00DD75D7"/>
    <w:rsid w:val="00DE14D6"/>
    <w:rsid w:val="00DE22B0"/>
    <w:rsid w:val="00DE327D"/>
    <w:rsid w:val="00DE3EC4"/>
    <w:rsid w:val="00DE42E6"/>
    <w:rsid w:val="00DE46E5"/>
    <w:rsid w:val="00DE48BB"/>
    <w:rsid w:val="00DE4C16"/>
    <w:rsid w:val="00DE6677"/>
    <w:rsid w:val="00DF0670"/>
    <w:rsid w:val="00DF1A24"/>
    <w:rsid w:val="00DF1AD5"/>
    <w:rsid w:val="00DF2094"/>
    <w:rsid w:val="00DF233D"/>
    <w:rsid w:val="00DF2C9D"/>
    <w:rsid w:val="00E065F2"/>
    <w:rsid w:val="00E066DF"/>
    <w:rsid w:val="00E06DD3"/>
    <w:rsid w:val="00E105D8"/>
    <w:rsid w:val="00E11500"/>
    <w:rsid w:val="00E11DA9"/>
    <w:rsid w:val="00E12A7A"/>
    <w:rsid w:val="00E13762"/>
    <w:rsid w:val="00E14B9E"/>
    <w:rsid w:val="00E14D1D"/>
    <w:rsid w:val="00E14F93"/>
    <w:rsid w:val="00E16C47"/>
    <w:rsid w:val="00E17F5C"/>
    <w:rsid w:val="00E20869"/>
    <w:rsid w:val="00E220A7"/>
    <w:rsid w:val="00E2453E"/>
    <w:rsid w:val="00E249E9"/>
    <w:rsid w:val="00E254BD"/>
    <w:rsid w:val="00E25EC9"/>
    <w:rsid w:val="00E27544"/>
    <w:rsid w:val="00E27A04"/>
    <w:rsid w:val="00E31800"/>
    <w:rsid w:val="00E31FDC"/>
    <w:rsid w:val="00E32117"/>
    <w:rsid w:val="00E33621"/>
    <w:rsid w:val="00E33B6E"/>
    <w:rsid w:val="00E341AC"/>
    <w:rsid w:val="00E353A8"/>
    <w:rsid w:val="00E35879"/>
    <w:rsid w:val="00E358E3"/>
    <w:rsid w:val="00E36534"/>
    <w:rsid w:val="00E36AD3"/>
    <w:rsid w:val="00E3744B"/>
    <w:rsid w:val="00E412A3"/>
    <w:rsid w:val="00E44098"/>
    <w:rsid w:val="00E44887"/>
    <w:rsid w:val="00E4544D"/>
    <w:rsid w:val="00E45856"/>
    <w:rsid w:val="00E50A69"/>
    <w:rsid w:val="00E515CD"/>
    <w:rsid w:val="00E52563"/>
    <w:rsid w:val="00E5347D"/>
    <w:rsid w:val="00E5488A"/>
    <w:rsid w:val="00E56891"/>
    <w:rsid w:val="00E5755D"/>
    <w:rsid w:val="00E606DB"/>
    <w:rsid w:val="00E62386"/>
    <w:rsid w:val="00E66803"/>
    <w:rsid w:val="00E6787B"/>
    <w:rsid w:val="00E709FC"/>
    <w:rsid w:val="00E7158E"/>
    <w:rsid w:val="00E721CD"/>
    <w:rsid w:val="00E74621"/>
    <w:rsid w:val="00E7471B"/>
    <w:rsid w:val="00E77077"/>
    <w:rsid w:val="00E77224"/>
    <w:rsid w:val="00E77969"/>
    <w:rsid w:val="00E77C91"/>
    <w:rsid w:val="00E820C2"/>
    <w:rsid w:val="00E82E89"/>
    <w:rsid w:val="00E83771"/>
    <w:rsid w:val="00E83E07"/>
    <w:rsid w:val="00E84679"/>
    <w:rsid w:val="00E84E68"/>
    <w:rsid w:val="00E924FA"/>
    <w:rsid w:val="00E92C7D"/>
    <w:rsid w:val="00E9345F"/>
    <w:rsid w:val="00E9385D"/>
    <w:rsid w:val="00EA0CB6"/>
    <w:rsid w:val="00EA0D53"/>
    <w:rsid w:val="00EA1C51"/>
    <w:rsid w:val="00EA249C"/>
    <w:rsid w:val="00EA3C37"/>
    <w:rsid w:val="00EA4470"/>
    <w:rsid w:val="00EA5084"/>
    <w:rsid w:val="00EA5B93"/>
    <w:rsid w:val="00EA6653"/>
    <w:rsid w:val="00EA7973"/>
    <w:rsid w:val="00EB14C6"/>
    <w:rsid w:val="00EB28C8"/>
    <w:rsid w:val="00EB29D4"/>
    <w:rsid w:val="00EB3B86"/>
    <w:rsid w:val="00EB3FA1"/>
    <w:rsid w:val="00EB4E21"/>
    <w:rsid w:val="00EB547E"/>
    <w:rsid w:val="00EB750C"/>
    <w:rsid w:val="00EC0905"/>
    <w:rsid w:val="00EC260C"/>
    <w:rsid w:val="00EC2965"/>
    <w:rsid w:val="00EC3984"/>
    <w:rsid w:val="00EC6D30"/>
    <w:rsid w:val="00EC6D86"/>
    <w:rsid w:val="00EC7257"/>
    <w:rsid w:val="00ED014E"/>
    <w:rsid w:val="00ED0326"/>
    <w:rsid w:val="00ED2BAA"/>
    <w:rsid w:val="00ED2C4C"/>
    <w:rsid w:val="00ED2CDA"/>
    <w:rsid w:val="00ED5090"/>
    <w:rsid w:val="00ED50C9"/>
    <w:rsid w:val="00ED6EA5"/>
    <w:rsid w:val="00EE0459"/>
    <w:rsid w:val="00EE3319"/>
    <w:rsid w:val="00EE4AB7"/>
    <w:rsid w:val="00EE503F"/>
    <w:rsid w:val="00EE7C9A"/>
    <w:rsid w:val="00EF1CA1"/>
    <w:rsid w:val="00EF3928"/>
    <w:rsid w:val="00EF46BF"/>
    <w:rsid w:val="00EF593A"/>
    <w:rsid w:val="00EF76C0"/>
    <w:rsid w:val="00F0088A"/>
    <w:rsid w:val="00F00906"/>
    <w:rsid w:val="00F00D4B"/>
    <w:rsid w:val="00F0174B"/>
    <w:rsid w:val="00F022C6"/>
    <w:rsid w:val="00F03DCB"/>
    <w:rsid w:val="00F05204"/>
    <w:rsid w:val="00F055D1"/>
    <w:rsid w:val="00F073B8"/>
    <w:rsid w:val="00F07B7F"/>
    <w:rsid w:val="00F1089F"/>
    <w:rsid w:val="00F115BE"/>
    <w:rsid w:val="00F1273C"/>
    <w:rsid w:val="00F13ED8"/>
    <w:rsid w:val="00F142D2"/>
    <w:rsid w:val="00F14F49"/>
    <w:rsid w:val="00F15688"/>
    <w:rsid w:val="00F16312"/>
    <w:rsid w:val="00F175AB"/>
    <w:rsid w:val="00F21B14"/>
    <w:rsid w:val="00F21C3A"/>
    <w:rsid w:val="00F268B8"/>
    <w:rsid w:val="00F2693C"/>
    <w:rsid w:val="00F27633"/>
    <w:rsid w:val="00F30532"/>
    <w:rsid w:val="00F31F31"/>
    <w:rsid w:val="00F35648"/>
    <w:rsid w:val="00F36223"/>
    <w:rsid w:val="00F40AC4"/>
    <w:rsid w:val="00F41BCE"/>
    <w:rsid w:val="00F430CD"/>
    <w:rsid w:val="00F44D2F"/>
    <w:rsid w:val="00F512FF"/>
    <w:rsid w:val="00F524BD"/>
    <w:rsid w:val="00F56124"/>
    <w:rsid w:val="00F57C49"/>
    <w:rsid w:val="00F60572"/>
    <w:rsid w:val="00F6092D"/>
    <w:rsid w:val="00F61CAD"/>
    <w:rsid w:val="00F6216F"/>
    <w:rsid w:val="00F648C6"/>
    <w:rsid w:val="00F650B5"/>
    <w:rsid w:val="00F650CF"/>
    <w:rsid w:val="00F65CA7"/>
    <w:rsid w:val="00F65E24"/>
    <w:rsid w:val="00F66DA5"/>
    <w:rsid w:val="00F66F36"/>
    <w:rsid w:val="00F672BA"/>
    <w:rsid w:val="00F67810"/>
    <w:rsid w:val="00F70AD3"/>
    <w:rsid w:val="00F716E8"/>
    <w:rsid w:val="00F71780"/>
    <w:rsid w:val="00F721B7"/>
    <w:rsid w:val="00F759A5"/>
    <w:rsid w:val="00F762FA"/>
    <w:rsid w:val="00F76422"/>
    <w:rsid w:val="00F773A7"/>
    <w:rsid w:val="00F7790B"/>
    <w:rsid w:val="00F80738"/>
    <w:rsid w:val="00F81DFC"/>
    <w:rsid w:val="00F81F80"/>
    <w:rsid w:val="00F83871"/>
    <w:rsid w:val="00F83C9D"/>
    <w:rsid w:val="00F85129"/>
    <w:rsid w:val="00F85982"/>
    <w:rsid w:val="00F86189"/>
    <w:rsid w:val="00F9067E"/>
    <w:rsid w:val="00F91D52"/>
    <w:rsid w:val="00F92605"/>
    <w:rsid w:val="00F92711"/>
    <w:rsid w:val="00F95D34"/>
    <w:rsid w:val="00F96142"/>
    <w:rsid w:val="00F96E61"/>
    <w:rsid w:val="00F9780C"/>
    <w:rsid w:val="00FA179E"/>
    <w:rsid w:val="00FA1896"/>
    <w:rsid w:val="00FA5EE6"/>
    <w:rsid w:val="00FA6277"/>
    <w:rsid w:val="00FA6674"/>
    <w:rsid w:val="00FA6B6C"/>
    <w:rsid w:val="00FA73C7"/>
    <w:rsid w:val="00FB1A1B"/>
    <w:rsid w:val="00FB3F30"/>
    <w:rsid w:val="00FB4A58"/>
    <w:rsid w:val="00FB51FC"/>
    <w:rsid w:val="00FB5BCF"/>
    <w:rsid w:val="00FB5C8D"/>
    <w:rsid w:val="00FB6A68"/>
    <w:rsid w:val="00FB6B4B"/>
    <w:rsid w:val="00FB719E"/>
    <w:rsid w:val="00FB7819"/>
    <w:rsid w:val="00FC0688"/>
    <w:rsid w:val="00FC1189"/>
    <w:rsid w:val="00FC24E4"/>
    <w:rsid w:val="00FC3519"/>
    <w:rsid w:val="00FC3581"/>
    <w:rsid w:val="00FC63C3"/>
    <w:rsid w:val="00FC749C"/>
    <w:rsid w:val="00FC7FBF"/>
    <w:rsid w:val="00FD0A06"/>
    <w:rsid w:val="00FD0A0A"/>
    <w:rsid w:val="00FD0C3B"/>
    <w:rsid w:val="00FD1259"/>
    <w:rsid w:val="00FD12AE"/>
    <w:rsid w:val="00FD2985"/>
    <w:rsid w:val="00FD4746"/>
    <w:rsid w:val="00FD6581"/>
    <w:rsid w:val="00FD689B"/>
    <w:rsid w:val="00FE2D7C"/>
    <w:rsid w:val="00FE3D08"/>
    <w:rsid w:val="00FE5FB5"/>
    <w:rsid w:val="00FF2D53"/>
    <w:rsid w:val="00FF4194"/>
    <w:rsid w:val="00FF4997"/>
    <w:rsid w:val="00FF5B02"/>
    <w:rsid w:val="00FF74F6"/>
    <w:rsid w:val="00FF7AE5"/>
    <w:rsid w:val="00FF7F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4FE8"/>
  <w15:chartTrackingRefBased/>
  <w15:docId w15:val="{ED931FBB-EAEB-4B67-AE27-02EB917C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14F49"/>
    <w:pPr>
      <w:keepNext/>
      <w:keepLines/>
      <w:spacing w:before="480" w:after="0" w:line="480" w:lineRule="auto"/>
      <w:outlineLvl w:val="0"/>
    </w:pPr>
    <w:rPr>
      <w:rFonts w:asciiTheme="majorHAnsi" w:hAnsiTheme="majorHAnsi" w:cstheme="majorBidi"/>
      <w:b/>
      <w:sz w:val="36"/>
      <w:szCs w:val="32"/>
    </w:rPr>
  </w:style>
  <w:style w:type="paragraph" w:styleId="Heading2">
    <w:name w:val="heading 2"/>
    <w:basedOn w:val="Normal"/>
    <w:next w:val="Normal"/>
    <w:link w:val="Heading2Char"/>
    <w:uiPriority w:val="9"/>
    <w:unhideWhenUsed/>
    <w:qFormat/>
    <w:rsid w:val="00DC57F4"/>
    <w:pPr>
      <w:keepNext/>
      <w:keepLines/>
      <w:spacing w:before="40" w:after="0" w:line="48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C57F4"/>
    <w:pPr>
      <w:keepNext/>
      <w:keepLines/>
      <w:numPr>
        <w:ilvl w:val="2"/>
        <w:numId w:val="19"/>
      </w:numPr>
      <w:spacing w:before="40" w:after="0" w:line="480" w:lineRule="auto"/>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B5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CF3"/>
    <w:pPr>
      <w:ind w:left="720"/>
      <w:contextualSpacing/>
    </w:pPr>
  </w:style>
  <w:style w:type="character" w:customStyle="1" w:styleId="Heading1Char">
    <w:name w:val="Heading 1 Char"/>
    <w:basedOn w:val="DefaultParagraphFont"/>
    <w:link w:val="Heading1"/>
    <w:uiPriority w:val="9"/>
    <w:rsid w:val="00F14F49"/>
    <w:rPr>
      <w:rFonts w:asciiTheme="majorHAnsi" w:hAnsiTheme="majorHAnsi" w:cstheme="majorBidi"/>
      <w:b/>
      <w:sz w:val="36"/>
      <w:szCs w:val="32"/>
      <w:lang w:val="en-US"/>
    </w:rPr>
  </w:style>
  <w:style w:type="character" w:styleId="Hyperlink">
    <w:name w:val="Hyperlink"/>
    <w:basedOn w:val="DefaultParagraphFont"/>
    <w:uiPriority w:val="99"/>
    <w:unhideWhenUsed/>
    <w:rsid w:val="00A024E6"/>
    <w:rPr>
      <w:color w:val="0563C1" w:themeColor="hyperlink"/>
      <w:u w:val="single"/>
    </w:rPr>
  </w:style>
  <w:style w:type="character" w:styleId="UnresolvedMention">
    <w:name w:val="Unresolved Mention"/>
    <w:basedOn w:val="DefaultParagraphFont"/>
    <w:uiPriority w:val="99"/>
    <w:semiHidden/>
    <w:unhideWhenUsed/>
    <w:rsid w:val="00A024E6"/>
    <w:rPr>
      <w:color w:val="605E5C"/>
      <w:shd w:val="clear" w:color="auto" w:fill="E1DFDD"/>
    </w:rPr>
  </w:style>
  <w:style w:type="character" w:customStyle="1" w:styleId="Heading2Char">
    <w:name w:val="Heading 2 Char"/>
    <w:basedOn w:val="DefaultParagraphFont"/>
    <w:link w:val="Heading2"/>
    <w:uiPriority w:val="9"/>
    <w:rsid w:val="00DC57F4"/>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rsid w:val="00DC57F4"/>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rsid w:val="006B51C7"/>
    <w:rPr>
      <w:rFonts w:asciiTheme="majorHAnsi" w:eastAsiaTheme="majorEastAsia" w:hAnsiTheme="majorHAnsi" w:cstheme="majorBidi"/>
      <w:i/>
      <w:iCs/>
      <w:color w:val="2F5496" w:themeColor="accent1" w:themeShade="BF"/>
      <w:lang w:val="en-US"/>
    </w:rPr>
  </w:style>
  <w:style w:type="character" w:styleId="CommentReference">
    <w:name w:val="annotation reference"/>
    <w:basedOn w:val="DefaultParagraphFont"/>
    <w:uiPriority w:val="99"/>
    <w:semiHidden/>
    <w:unhideWhenUsed/>
    <w:rsid w:val="00287945"/>
    <w:rPr>
      <w:sz w:val="16"/>
      <w:szCs w:val="16"/>
    </w:rPr>
  </w:style>
  <w:style w:type="paragraph" w:styleId="CommentText">
    <w:name w:val="annotation text"/>
    <w:basedOn w:val="Normal"/>
    <w:link w:val="CommentTextChar"/>
    <w:uiPriority w:val="99"/>
    <w:unhideWhenUsed/>
    <w:rsid w:val="00287945"/>
    <w:pPr>
      <w:spacing w:line="240" w:lineRule="auto"/>
    </w:pPr>
    <w:rPr>
      <w:sz w:val="20"/>
      <w:szCs w:val="20"/>
    </w:rPr>
  </w:style>
  <w:style w:type="character" w:customStyle="1" w:styleId="CommentTextChar">
    <w:name w:val="Comment Text Char"/>
    <w:basedOn w:val="DefaultParagraphFont"/>
    <w:link w:val="CommentText"/>
    <w:uiPriority w:val="99"/>
    <w:rsid w:val="00287945"/>
    <w:rPr>
      <w:sz w:val="20"/>
      <w:szCs w:val="20"/>
      <w:lang w:val="en-US"/>
    </w:rPr>
  </w:style>
  <w:style w:type="paragraph" w:styleId="CommentSubject">
    <w:name w:val="annotation subject"/>
    <w:basedOn w:val="CommentText"/>
    <w:next w:val="CommentText"/>
    <w:link w:val="CommentSubjectChar"/>
    <w:uiPriority w:val="99"/>
    <w:semiHidden/>
    <w:unhideWhenUsed/>
    <w:rsid w:val="00287945"/>
    <w:rPr>
      <w:b/>
      <w:bCs/>
    </w:rPr>
  </w:style>
  <w:style w:type="character" w:customStyle="1" w:styleId="CommentSubjectChar">
    <w:name w:val="Comment Subject Char"/>
    <w:basedOn w:val="CommentTextChar"/>
    <w:link w:val="CommentSubject"/>
    <w:uiPriority w:val="99"/>
    <w:semiHidden/>
    <w:rsid w:val="00287945"/>
    <w:rPr>
      <w:b/>
      <w:bCs/>
      <w:sz w:val="20"/>
      <w:szCs w:val="20"/>
      <w:lang w:val="en-US"/>
    </w:rPr>
  </w:style>
  <w:style w:type="paragraph" w:styleId="Revision">
    <w:name w:val="Revision"/>
    <w:hidden/>
    <w:uiPriority w:val="99"/>
    <w:semiHidden/>
    <w:rsid w:val="00004F24"/>
    <w:pPr>
      <w:spacing w:after="0" w:line="240" w:lineRule="auto"/>
    </w:pPr>
    <w:rPr>
      <w:lang w:val="en-US"/>
    </w:rPr>
  </w:style>
  <w:style w:type="paragraph" w:styleId="NormalWeb">
    <w:name w:val="Normal (Web)"/>
    <w:basedOn w:val="Normal"/>
    <w:uiPriority w:val="99"/>
    <w:unhideWhenUsed/>
    <w:rsid w:val="00F621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269"/>
    <w:rPr>
      <w:rFonts w:ascii="Segoe UI" w:hAnsi="Segoe UI" w:cs="Segoe UI"/>
      <w:sz w:val="18"/>
      <w:szCs w:val="18"/>
      <w:lang w:val="en-US"/>
    </w:rPr>
  </w:style>
  <w:style w:type="paragraph" w:styleId="Bibliography">
    <w:name w:val="Bibliography"/>
    <w:basedOn w:val="Normal"/>
    <w:next w:val="Normal"/>
    <w:uiPriority w:val="37"/>
    <w:unhideWhenUsed/>
    <w:rsid w:val="006E6536"/>
    <w:pPr>
      <w:tabs>
        <w:tab w:val="left" w:pos="380"/>
        <w:tab w:val="left" w:pos="500"/>
      </w:tabs>
      <w:spacing w:after="0" w:line="240" w:lineRule="auto"/>
      <w:ind w:left="504" w:hanging="504"/>
    </w:pPr>
  </w:style>
  <w:style w:type="table" w:styleId="PlainTable3">
    <w:name w:val="Plain Table 3"/>
    <w:basedOn w:val="TableNormal"/>
    <w:uiPriority w:val="43"/>
    <w:rsid w:val="00F83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6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678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78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78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67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78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772ED5"/>
    <w:pPr>
      <w:spacing w:after="0" w:line="240" w:lineRule="auto"/>
    </w:pPr>
    <w:rPr>
      <w:rFonts w:ascii="Calibri" w:eastAsia="Times New Roman" w:hAnsi="Calibri" w:cs="Calibri"/>
      <w:sz w:val="24"/>
      <w:szCs w:val="24"/>
      <w:lang w:val="nl-BE"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305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52C"/>
    <w:rPr>
      <w:lang w:val="en-US"/>
    </w:rPr>
  </w:style>
  <w:style w:type="paragraph" w:styleId="Footer">
    <w:name w:val="footer"/>
    <w:basedOn w:val="Normal"/>
    <w:link w:val="FooterChar"/>
    <w:uiPriority w:val="99"/>
    <w:unhideWhenUsed/>
    <w:rsid w:val="007305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52C"/>
    <w:rPr>
      <w:lang w:val="en-US"/>
    </w:rPr>
  </w:style>
  <w:style w:type="character" w:styleId="LineNumber">
    <w:name w:val="line number"/>
    <w:basedOn w:val="DefaultParagraphFont"/>
    <w:uiPriority w:val="99"/>
    <w:semiHidden/>
    <w:unhideWhenUsed/>
    <w:rsid w:val="003C0197"/>
  </w:style>
  <w:style w:type="character" w:styleId="Emphasis">
    <w:name w:val="Emphasis"/>
    <w:basedOn w:val="DefaultParagraphFont"/>
    <w:uiPriority w:val="20"/>
    <w:qFormat/>
    <w:rsid w:val="0083509E"/>
    <w:rPr>
      <w:i/>
      <w:iCs/>
    </w:rPr>
  </w:style>
  <w:style w:type="character" w:customStyle="1" w:styleId="apple-converted-space">
    <w:name w:val="apple-converted-space"/>
    <w:basedOn w:val="DefaultParagraphFont"/>
    <w:rsid w:val="001E50A5"/>
  </w:style>
  <w:style w:type="character" w:styleId="PlaceholderText">
    <w:name w:val="Placeholder Text"/>
    <w:basedOn w:val="DefaultParagraphFont"/>
    <w:uiPriority w:val="99"/>
    <w:semiHidden/>
    <w:rsid w:val="00776F81"/>
    <w:rPr>
      <w:color w:val="808080"/>
    </w:rPr>
  </w:style>
  <w:style w:type="paragraph" w:styleId="PlainText">
    <w:name w:val="Plain Text"/>
    <w:basedOn w:val="Normal"/>
    <w:link w:val="PlainTextChar"/>
    <w:uiPriority w:val="99"/>
    <w:unhideWhenUsed/>
    <w:rsid w:val="003C2ACD"/>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3C2ACD"/>
    <w:rPr>
      <w:rFonts w:ascii="Arial" w:hAnsi="Arial"/>
      <w:szCs w:val="21"/>
      <w:lang w:val="en-US"/>
    </w:rPr>
  </w:style>
  <w:style w:type="paragraph" w:styleId="EndnoteText">
    <w:name w:val="endnote text"/>
    <w:basedOn w:val="Normal"/>
    <w:link w:val="EndnoteTextChar"/>
    <w:uiPriority w:val="99"/>
    <w:semiHidden/>
    <w:unhideWhenUsed/>
    <w:rsid w:val="006559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9AA"/>
    <w:rPr>
      <w:sz w:val="20"/>
      <w:szCs w:val="20"/>
      <w:lang w:val="en-US"/>
    </w:rPr>
  </w:style>
  <w:style w:type="character" w:styleId="EndnoteReference">
    <w:name w:val="endnote reference"/>
    <w:basedOn w:val="DefaultParagraphFont"/>
    <w:uiPriority w:val="99"/>
    <w:semiHidden/>
    <w:unhideWhenUsed/>
    <w:rsid w:val="006559AA"/>
    <w:rPr>
      <w:vertAlign w:val="superscript"/>
    </w:rPr>
  </w:style>
  <w:style w:type="paragraph" w:styleId="FootnoteText">
    <w:name w:val="footnote text"/>
    <w:basedOn w:val="Normal"/>
    <w:link w:val="FootnoteTextChar"/>
    <w:uiPriority w:val="99"/>
    <w:semiHidden/>
    <w:unhideWhenUsed/>
    <w:rsid w:val="00655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9AA"/>
    <w:rPr>
      <w:sz w:val="20"/>
      <w:szCs w:val="20"/>
      <w:lang w:val="en-US"/>
    </w:rPr>
  </w:style>
  <w:style w:type="character" w:styleId="FootnoteReference">
    <w:name w:val="footnote reference"/>
    <w:basedOn w:val="DefaultParagraphFont"/>
    <w:uiPriority w:val="99"/>
    <w:semiHidden/>
    <w:unhideWhenUsed/>
    <w:rsid w:val="006559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1776">
      <w:bodyDiv w:val="1"/>
      <w:marLeft w:val="0"/>
      <w:marRight w:val="0"/>
      <w:marTop w:val="0"/>
      <w:marBottom w:val="0"/>
      <w:divBdr>
        <w:top w:val="none" w:sz="0" w:space="0" w:color="auto"/>
        <w:left w:val="none" w:sz="0" w:space="0" w:color="auto"/>
        <w:bottom w:val="none" w:sz="0" w:space="0" w:color="auto"/>
        <w:right w:val="none" w:sz="0" w:space="0" w:color="auto"/>
      </w:divBdr>
    </w:div>
    <w:div w:id="792022465">
      <w:bodyDiv w:val="1"/>
      <w:marLeft w:val="0"/>
      <w:marRight w:val="0"/>
      <w:marTop w:val="0"/>
      <w:marBottom w:val="0"/>
      <w:divBdr>
        <w:top w:val="none" w:sz="0" w:space="0" w:color="auto"/>
        <w:left w:val="none" w:sz="0" w:space="0" w:color="auto"/>
        <w:bottom w:val="none" w:sz="0" w:space="0" w:color="auto"/>
        <w:right w:val="none" w:sz="0" w:space="0" w:color="auto"/>
      </w:divBdr>
    </w:div>
    <w:div w:id="819887499">
      <w:bodyDiv w:val="1"/>
      <w:marLeft w:val="0"/>
      <w:marRight w:val="0"/>
      <w:marTop w:val="0"/>
      <w:marBottom w:val="0"/>
      <w:divBdr>
        <w:top w:val="none" w:sz="0" w:space="0" w:color="auto"/>
        <w:left w:val="none" w:sz="0" w:space="0" w:color="auto"/>
        <w:bottom w:val="none" w:sz="0" w:space="0" w:color="auto"/>
        <w:right w:val="none" w:sz="0" w:space="0" w:color="auto"/>
      </w:divBdr>
      <w:divsChild>
        <w:div w:id="253976636">
          <w:marLeft w:val="0"/>
          <w:marRight w:val="0"/>
          <w:marTop w:val="0"/>
          <w:marBottom w:val="0"/>
          <w:divBdr>
            <w:top w:val="single" w:sz="2" w:space="0" w:color="auto"/>
            <w:left w:val="single" w:sz="2" w:space="0" w:color="auto"/>
            <w:bottom w:val="single" w:sz="6" w:space="0" w:color="auto"/>
            <w:right w:val="single" w:sz="2" w:space="0" w:color="auto"/>
          </w:divBdr>
          <w:divsChild>
            <w:div w:id="189831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787243344">
                  <w:marLeft w:val="0"/>
                  <w:marRight w:val="0"/>
                  <w:marTop w:val="0"/>
                  <w:marBottom w:val="0"/>
                  <w:divBdr>
                    <w:top w:val="single" w:sz="2" w:space="0" w:color="D9D9E3"/>
                    <w:left w:val="single" w:sz="2" w:space="0" w:color="D9D9E3"/>
                    <w:bottom w:val="single" w:sz="2" w:space="0" w:color="D9D9E3"/>
                    <w:right w:val="single" w:sz="2" w:space="0" w:color="D9D9E3"/>
                  </w:divBdr>
                  <w:divsChild>
                    <w:div w:id="1358236691">
                      <w:marLeft w:val="0"/>
                      <w:marRight w:val="0"/>
                      <w:marTop w:val="0"/>
                      <w:marBottom w:val="0"/>
                      <w:divBdr>
                        <w:top w:val="single" w:sz="2" w:space="0" w:color="D9D9E3"/>
                        <w:left w:val="single" w:sz="2" w:space="0" w:color="D9D9E3"/>
                        <w:bottom w:val="single" w:sz="2" w:space="0" w:color="D9D9E3"/>
                        <w:right w:val="single" w:sz="2" w:space="0" w:color="D9D9E3"/>
                      </w:divBdr>
                      <w:divsChild>
                        <w:div w:id="84169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826485">
          <w:marLeft w:val="0"/>
          <w:marRight w:val="0"/>
          <w:marTop w:val="0"/>
          <w:marBottom w:val="0"/>
          <w:divBdr>
            <w:top w:val="single" w:sz="2" w:space="0" w:color="auto"/>
            <w:left w:val="single" w:sz="2" w:space="0" w:color="auto"/>
            <w:bottom w:val="single" w:sz="6" w:space="0" w:color="auto"/>
            <w:right w:val="single" w:sz="2" w:space="0" w:color="auto"/>
          </w:divBdr>
          <w:divsChild>
            <w:div w:id="132994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396131582">
                  <w:marLeft w:val="0"/>
                  <w:marRight w:val="0"/>
                  <w:marTop w:val="0"/>
                  <w:marBottom w:val="0"/>
                  <w:divBdr>
                    <w:top w:val="single" w:sz="2" w:space="0" w:color="D9D9E3"/>
                    <w:left w:val="single" w:sz="2" w:space="0" w:color="D9D9E3"/>
                    <w:bottom w:val="single" w:sz="2" w:space="0" w:color="D9D9E3"/>
                    <w:right w:val="single" w:sz="2" w:space="0" w:color="D9D9E3"/>
                  </w:divBdr>
                  <w:divsChild>
                    <w:div w:id="195508145">
                      <w:marLeft w:val="0"/>
                      <w:marRight w:val="0"/>
                      <w:marTop w:val="0"/>
                      <w:marBottom w:val="0"/>
                      <w:divBdr>
                        <w:top w:val="single" w:sz="2" w:space="0" w:color="D9D9E3"/>
                        <w:left w:val="single" w:sz="2" w:space="0" w:color="D9D9E3"/>
                        <w:bottom w:val="single" w:sz="2" w:space="0" w:color="D9D9E3"/>
                        <w:right w:val="single" w:sz="2" w:space="0" w:color="D9D9E3"/>
                      </w:divBdr>
                      <w:divsChild>
                        <w:div w:id="868685195">
                          <w:marLeft w:val="0"/>
                          <w:marRight w:val="0"/>
                          <w:marTop w:val="0"/>
                          <w:marBottom w:val="0"/>
                          <w:divBdr>
                            <w:top w:val="single" w:sz="2" w:space="0" w:color="D9D9E3"/>
                            <w:left w:val="single" w:sz="2" w:space="0" w:color="D9D9E3"/>
                            <w:bottom w:val="single" w:sz="2" w:space="0" w:color="D9D9E3"/>
                            <w:right w:val="single" w:sz="2" w:space="0" w:color="D9D9E3"/>
                          </w:divBdr>
                          <w:divsChild>
                            <w:div w:id="47934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7057236">
      <w:bodyDiv w:val="1"/>
      <w:marLeft w:val="0"/>
      <w:marRight w:val="0"/>
      <w:marTop w:val="0"/>
      <w:marBottom w:val="0"/>
      <w:divBdr>
        <w:top w:val="none" w:sz="0" w:space="0" w:color="auto"/>
        <w:left w:val="none" w:sz="0" w:space="0" w:color="auto"/>
        <w:bottom w:val="none" w:sz="0" w:space="0" w:color="auto"/>
        <w:right w:val="none" w:sz="0" w:space="0" w:color="auto"/>
      </w:divBdr>
    </w:div>
    <w:div w:id="1044599687">
      <w:bodyDiv w:val="1"/>
      <w:marLeft w:val="0"/>
      <w:marRight w:val="0"/>
      <w:marTop w:val="0"/>
      <w:marBottom w:val="0"/>
      <w:divBdr>
        <w:top w:val="none" w:sz="0" w:space="0" w:color="auto"/>
        <w:left w:val="none" w:sz="0" w:space="0" w:color="auto"/>
        <w:bottom w:val="none" w:sz="0" w:space="0" w:color="auto"/>
        <w:right w:val="none" w:sz="0" w:space="0" w:color="auto"/>
      </w:divBdr>
      <w:divsChild>
        <w:div w:id="1618635862">
          <w:marLeft w:val="0"/>
          <w:marRight w:val="0"/>
          <w:marTop w:val="0"/>
          <w:marBottom w:val="0"/>
          <w:divBdr>
            <w:top w:val="none" w:sz="0" w:space="0" w:color="auto"/>
            <w:left w:val="none" w:sz="0" w:space="0" w:color="auto"/>
            <w:bottom w:val="none" w:sz="0" w:space="0" w:color="auto"/>
            <w:right w:val="none" w:sz="0" w:space="0" w:color="auto"/>
          </w:divBdr>
          <w:divsChild>
            <w:div w:id="286661509">
              <w:marLeft w:val="0"/>
              <w:marRight w:val="0"/>
              <w:marTop w:val="0"/>
              <w:marBottom w:val="0"/>
              <w:divBdr>
                <w:top w:val="none" w:sz="0" w:space="0" w:color="auto"/>
                <w:left w:val="none" w:sz="0" w:space="0" w:color="auto"/>
                <w:bottom w:val="none" w:sz="0" w:space="0" w:color="auto"/>
                <w:right w:val="none" w:sz="0" w:space="0" w:color="auto"/>
              </w:divBdr>
              <w:divsChild>
                <w:div w:id="1783647728">
                  <w:marLeft w:val="0"/>
                  <w:marRight w:val="0"/>
                  <w:marTop w:val="0"/>
                  <w:marBottom w:val="0"/>
                  <w:divBdr>
                    <w:top w:val="none" w:sz="0" w:space="0" w:color="auto"/>
                    <w:left w:val="none" w:sz="0" w:space="0" w:color="auto"/>
                    <w:bottom w:val="none" w:sz="0" w:space="0" w:color="auto"/>
                    <w:right w:val="none" w:sz="0" w:space="0" w:color="auto"/>
                  </w:divBdr>
                  <w:divsChild>
                    <w:div w:id="16658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0862">
      <w:bodyDiv w:val="1"/>
      <w:marLeft w:val="0"/>
      <w:marRight w:val="0"/>
      <w:marTop w:val="0"/>
      <w:marBottom w:val="0"/>
      <w:divBdr>
        <w:top w:val="none" w:sz="0" w:space="0" w:color="auto"/>
        <w:left w:val="none" w:sz="0" w:space="0" w:color="auto"/>
        <w:bottom w:val="none" w:sz="0" w:space="0" w:color="auto"/>
        <w:right w:val="none" w:sz="0" w:space="0" w:color="auto"/>
      </w:divBdr>
      <w:divsChild>
        <w:div w:id="39717170">
          <w:marLeft w:val="0"/>
          <w:marRight w:val="0"/>
          <w:marTop w:val="0"/>
          <w:marBottom w:val="0"/>
          <w:divBdr>
            <w:top w:val="none" w:sz="0" w:space="0" w:color="auto"/>
            <w:left w:val="none" w:sz="0" w:space="0" w:color="auto"/>
            <w:bottom w:val="none" w:sz="0" w:space="0" w:color="auto"/>
            <w:right w:val="none" w:sz="0" w:space="0" w:color="auto"/>
          </w:divBdr>
          <w:divsChild>
            <w:div w:id="481430929">
              <w:marLeft w:val="0"/>
              <w:marRight w:val="0"/>
              <w:marTop w:val="0"/>
              <w:marBottom w:val="0"/>
              <w:divBdr>
                <w:top w:val="none" w:sz="0" w:space="0" w:color="auto"/>
                <w:left w:val="none" w:sz="0" w:space="0" w:color="auto"/>
                <w:bottom w:val="none" w:sz="0" w:space="0" w:color="auto"/>
                <w:right w:val="none" w:sz="0" w:space="0" w:color="auto"/>
              </w:divBdr>
              <w:divsChild>
                <w:div w:id="762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5401">
      <w:bodyDiv w:val="1"/>
      <w:marLeft w:val="0"/>
      <w:marRight w:val="0"/>
      <w:marTop w:val="0"/>
      <w:marBottom w:val="0"/>
      <w:divBdr>
        <w:top w:val="none" w:sz="0" w:space="0" w:color="auto"/>
        <w:left w:val="none" w:sz="0" w:space="0" w:color="auto"/>
        <w:bottom w:val="none" w:sz="0" w:space="0" w:color="auto"/>
        <w:right w:val="none" w:sz="0" w:space="0" w:color="auto"/>
      </w:divBdr>
    </w:div>
    <w:div w:id="1313632924">
      <w:bodyDiv w:val="1"/>
      <w:marLeft w:val="0"/>
      <w:marRight w:val="0"/>
      <w:marTop w:val="0"/>
      <w:marBottom w:val="0"/>
      <w:divBdr>
        <w:top w:val="none" w:sz="0" w:space="0" w:color="auto"/>
        <w:left w:val="none" w:sz="0" w:space="0" w:color="auto"/>
        <w:bottom w:val="none" w:sz="0" w:space="0" w:color="auto"/>
        <w:right w:val="none" w:sz="0" w:space="0" w:color="auto"/>
      </w:divBdr>
    </w:div>
    <w:div w:id="1367484130">
      <w:bodyDiv w:val="1"/>
      <w:marLeft w:val="0"/>
      <w:marRight w:val="0"/>
      <w:marTop w:val="0"/>
      <w:marBottom w:val="0"/>
      <w:divBdr>
        <w:top w:val="none" w:sz="0" w:space="0" w:color="auto"/>
        <w:left w:val="none" w:sz="0" w:space="0" w:color="auto"/>
        <w:bottom w:val="none" w:sz="0" w:space="0" w:color="auto"/>
        <w:right w:val="none" w:sz="0" w:space="0" w:color="auto"/>
      </w:divBdr>
      <w:divsChild>
        <w:div w:id="1419057586">
          <w:marLeft w:val="0"/>
          <w:marRight w:val="0"/>
          <w:marTop w:val="0"/>
          <w:marBottom w:val="0"/>
          <w:divBdr>
            <w:top w:val="none" w:sz="0" w:space="0" w:color="auto"/>
            <w:left w:val="none" w:sz="0" w:space="0" w:color="auto"/>
            <w:bottom w:val="none" w:sz="0" w:space="0" w:color="auto"/>
            <w:right w:val="none" w:sz="0" w:space="0" w:color="auto"/>
          </w:divBdr>
          <w:divsChild>
            <w:div w:id="1745641304">
              <w:marLeft w:val="0"/>
              <w:marRight w:val="0"/>
              <w:marTop w:val="0"/>
              <w:marBottom w:val="0"/>
              <w:divBdr>
                <w:top w:val="none" w:sz="0" w:space="0" w:color="auto"/>
                <w:left w:val="none" w:sz="0" w:space="0" w:color="auto"/>
                <w:bottom w:val="none" w:sz="0" w:space="0" w:color="auto"/>
                <w:right w:val="none" w:sz="0" w:space="0" w:color="auto"/>
              </w:divBdr>
              <w:divsChild>
                <w:div w:id="1986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795">
      <w:bodyDiv w:val="1"/>
      <w:marLeft w:val="0"/>
      <w:marRight w:val="0"/>
      <w:marTop w:val="0"/>
      <w:marBottom w:val="0"/>
      <w:divBdr>
        <w:top w:val="none" w:sz="0" w:space="0" w:color="auto"/>
        <w:left w:val="none" w:sz="0" w:space="0" w:color="auto"/>
        <w:bottom w:val="none" w:sz="0" w:space="0" w:color="auto"/>
        <w:right w:val="none" w:sz="0" w:space="0" w:color="auto"/>
      </w:divBdr>
    </w:div>
    <w:div w:id="1523082062">
      <w:bodyDiv w:val="1"/>
      <w:marLeft w:val="0"/>
      <w:marRight w:val="0"/>
      <w:marTop w:val="0"/>
      <w:marBottom w:val="0"/>
      <w:divBdr>
        <w:top w:val="none" w:sz="0" w:space="0" w:color="auto"/>
        <w:left w:val="none" w:sz="0" w:space="0" w:color="auto"/>
        <w:bottom w:val="none" w:sz="0" w:space="0" w:color="auto"/>
        <w:right w:val="none" w:sz="0" w:space="0" w:color="auto"/>
      </w:divBdr>
      <w:divsChild>
        <w:div w:id="369302955">
          <w:marLeft w:val="0"/>
          <w:marRight w:val="0"/>
          <w:marTop w:val="0"/>
          <w:marBottom w:val="0"/>
          <w:divBdr>
            <w:top w:val="single" w:sz="2" w:space="0" w:color="auto"/>
            <w:left w:val="single" w:sz="2" w:space="0" w:color="auto"/>
            <w:bottom w:val="single" w:sz="6" w:space="0" w:color="auto"/>
            <w:right w:val="single" w:sz="2" w:space="0" w:color="auto"/>
          </w:divBdr>
          <w:divsChild>
            <w:div w:id="90448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509097">
                  <w:marLeft w:val="0"/>
                  <w:marRight w:val="0"/>
                  <w:marTop w:val="0"/>
                  <w:marBottom w:val="0"/>
                  <w:divBdr>
                    <w:top w:val="single" w:sz="2" w:space="0" w:color="D9D9E3"/>
                    <w:left w:val="single" w:sz="2" w:space="0" w:color="D9D9E3"/>
                    <w:bottom w:val="single" w:sz="2" w:space="0" w:color="D9D9E3"/>
                    <w:right w:val="single" w:sz="2" w:space="0" w:color="D9D9E3"/>
                  </w:divBdr>
                  <w:divsChild>
                    <w:div w:id="1729719844">
                      <w:marLeft w:val="0"/>
                      <w:marRight w:val="0"/>
                      <w:marTop w:val="0"/>
                      <w:marBottom w:val="0"/>
                      <w:divBdr>
                        <w:top w:val="single" w:sz="2" w:space="0" w:color="D9D9E3"/>
                        <w:left w:val="single" w:sz="2" w:space="0" w:color="D9D9E3"/>
                        <w:bottom w:val="single" w:sz="2" w:space="0" w:color="D9D9E3"/>
                        <w:right w:val="single" w:sz="2" w:space="0" w:color="D9D9E3"/>
                      </w:divBdr>
                      <w:divsChild>
                        <w:div w:id="95572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617708">
          <w:marLeft w:val="0"/>
          <w:marRight w:val="0"/>
          <w:marTop w:val="0"/>
          <w:marBottom w:val="0"/>
          <w:divBdr>
            <w:top w:val="single" w:sz="2" w:space="0" w:color="auto"/>
            <w:left w:val="single" w:sz="2" w:space="0" w:color="auto"/>
            <w:bottom w:val="single" w:sz="6" w:space="0" w:color="auto"/>
            <w:right w:val="single" w:sz="2" w:space="0" w:color="auto"/>
          </w:divBdr>
          <w:divsChild>
            <w:div w:id="145825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749696998">
                  <w:marLeft w:val="0"/>
                  <w:marRight w:val="0"/>
                  <w:marTop w:val="0"/>
                  <w:marBottom w:val="0"/>
                  <w:divBdr>
                    <w:top w:val="single" w:sz="2" w:space="0" w:color="D9D9E3"/>
                    <w:left w:val="single" w:sz="2" w:space="0" w:color="D9D9E3"/>
                    <w:bottom w:val="single" w:sz="2" w:space="0" w:color="D9D9E3"/>
                    <w:right w:val="single" w:sz="2" w:space="0" w:color="D9D9E3"/>
                  </w:divBdr>
                  <w:divsChild>
                    <w:div w:id="1725519165">
                      <w:marLeft w:val="0"/>
                      <w:marRight w:val="0"/>
                      <w:marTop w:val="0"/>
                      <w:marBottom w:val="0"/>
                      <w:divBdr>
                        <w:top w:val="single" w:sz="2" w:space="0" w:color="D9D9E3"/>
                        <w:left w:val="single" w:sz="2" w:space="0" w:color="D9D9E3"/>
                        <w:bottom w:val="single" w:sz="2" w:space="0" w:color="D9D9E3"/>
                        <w:right w:val="single" w:sz="2" w:space="0" w:color="D9D9E3"/>
                      </w:divBdr>
                      <w:divsChild>
                        <w:div w:id="1468544076">
                          <w:marLeft w:val="0"/>
                          <w:marRight w:val="0"/>
                          <w:marTop w:val="0"/>
                          <w:marBottom w:val="0"/>
                          <w:divBdr>
                            <w:top w:val="single" w:sz="2" w:space="0" w:color="D9D9E3"/>
                            <w:left w:val="single" w:sz="2" w:space="0" w:color="D9D9E3"/>
                            <w:bottom w:val="single" w:sz="2" w:space="0" w:color="D9D9E3"/>
                            <w:right w:val="single" w:sz="2" w:space="0" w:color="D9D9E3"/>
                          </w:divBdr>
                          <w:divsChild>
                            <w:div w:id="68918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336001">
      <w:bodyDiv w:val="1"/>
      <w:marLeft w:val="0"/>
      <w:marRight w:val="0"/>
      <w:marTop w:val="0"/>
      <w:marBottom w:val="0"/>
      <w:divBdr>
        <w:top w:val="none" w:sz="0" w:space="0" w:color="auto"/>
        <w:left w:val="none" w:sz="0" w:space="0" w:color="auto"/>
        <w:bottom w:val="none" w:sz="0" w:space="0" w:color="auto"/>
        <w:right w:val="none" w:sz="0" w:space="0" w:color="auto"/>
      </w:divBdr>
      <w:divsChild>
        <w:div w:id="812142517">
          <w:marLeft w:val="0"/>
          <w:marRight w:val="0"/>
          <w:marTop w:val="0"/>
          <w:marBottom w:val="0"/>
          <w:divBdr>
            <w:top w:val="none" w:sz="0" w:space="0" w:color="auto"/>
            <w:left w:val="none" w:sz="0" w:space="0" w:color="auto"/>
            <w:bottom w:val="none" w:sz="0" w:space="0" w:color="auto"/>
            <w:right w:val="none" w:sz="0" w:space="0" w:color="auto"/>
          </w:divBdr>
          <w:divsChild>
            <w:div w:id="705524752">
              <w:marLeft w:val="0"/>
              <w:marRight w:val="0"/>
              <w:marTop w:val="0"/>
              <w:marBottom w:val="0"/>
              <w:divBdr>
                <w:top w:val="none" w:sz="0" w:space="0" w:color="auto"/>
                <w:left w:val="none" w:sz="0" w:space="0" w:color="auto"/>
                <w:bottom w:val="none" w:sz="0" w:space="0" w:color="auto"/>
                <w:right w:val="none" w:sz="0" w:space="0" w:color="auto"/>
              </w:divBdr>
              <w:divsChild>
                <w:div w:id="3673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6243">
      <w:bodyDiv w:val="1"/>
      <w:marLeft w:val="0"/>
      <w:marRight w:val="0"/>
      <w:marTop w:val="0"/>
      <w:marBottom w:val="0"/>
      <w:divBdr>
        <w:top w:val="none" w:sz="0" w:space="0" w:color="auto"/>
        <w:left w:val="none" w:sz="0" w:space="0" w:color="auto"/>
        <w:bottom w:val="none" w:sz="0" w:space="0" w:color="auto"/>
        <w:right w:val="none" w:sz="0" w:space="0" w:color="auto"/>
      </w:divBdr>
    </w:div>
    <w:div w:id="1844471353">
      <w:bodyDiv w:val="1"/>
      <w:marLeft w:val="0"/>
      <w:marRight w:val="0"/>
      <w:marTop w:val="0"/>
      <w:marBottom w:val="0"/>
      <w:divBdr>
        <w:top w:val="none" w:sz="0" w:space="0" w:color="auto"/>
        <w:left w:val="none" w:sz="0" w:space="0" w:color="auto"/>
        <w:bottom w:val="none" w:sz="0" w:space="0" w:color="auto"/>
        <w:right w:val="none" w:sz="0" w:space="0" w:color="auto"/>
      </w:divBdr>
    </w:div>
    <w:div w:id="1993175037">
      <w:bodyDiv w:val="1"/>
      <w:marLeft w:val="0"/>
      <w:marRight w:val="0"/>
      <w:marTop w:val="0"/>
      <w:marBottom w:val="0"/>
      <w:divBdr>
        <w:top w:val="none" w:sz="0" w:space="0" w:color="auto"/>
        <w:left w:val="none" w:sz="0" w:space="0" w:color="auto"/>
        <w:bottom w:val="none" w:sz="0" w:space="0" w:color="auto"/>
        <w:right w:val="none" w:sz="0" w:space="0" w:color="auto"/>
      </w:divBdr>
    </w:div>
    <w:div w:id="2069837878">
      <w:bodyDiv w:val="1"/>
      <w:marLeft w:val="0"/>
      <w:marRight w:val="0"/>
      <w:marTop w:val="0"/>
      <w:marBottom w:val="0"/>
      <w:divBdr>
        <w:top w:val="none" w:sz="0" w:space="0" w:color="auto"/>
        <w:left w:val="none" w:sz="0" w:space="0" w:color="auto"/>
        <w:bottom w:val="none" w:sz="0" w:space="0" w:color="auto"/>
        <w:right w:val="none" w:sz="0" w:space="0" w:color="auto"/>
      </w:divBdr>
    </w:div>
    <w:div w:id="210163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wieiswie/en/unit/regional/50000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wieiswie/en/unit/regional/50000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63D5-CC8B-4040-9A3D-12E79313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18927</Words>
  <Characters>107888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Elkayal</dc:creator>
  <cp:keywords/>
  <dc:description/>
  <cp:lastModifiedBy>omar elkayal</cp:lastModifiedBy>
  <cp:revision>1573</cp:revision>
  <cp:lastPrinted>2023-03-15T11:08:00Z</cp:lastPrinted>
  <dcterms:created xsi:type="dcterms:W3CDTF">2022-12-06T13:01:00Z</dcterms:created>
  <dcterms:modified xsi:type="dcterms:W3CDTF">2023-08-04T09:24:00Z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e5c641c02cebfb7e19b6877ae41412774504d0168e59b646e5c7037d86f7115f</vt:lpwstr>
  </property>
  <property fmtid="{D5CDD505-2E9C-101B-9397-08002B2CF9AE}" pid="3" name="ZOTERO_PREF_1">
    <vt:lpwstr>&lt;data data-version="3" zotero-version="6.0.26"&gt;&lt;session id="PpqfCl0A"/&gt;&lt;style id="http://www.zotero.org/styles/international-journal-of-antimicrobial-agents" hasBibliography="1" bibliographyStyleHasBeenSet="1"/&gt;&lt;prefs&gt;&lt;pref name="fieldType" value="Field"/</vt:lpwstr>
  </property>
  <property fmtid="{D5CDD505-2E9C-101B-9397-08002B2CF9AE}" pid="4" name="ZOTERO_PREF_2">
    <vt:lpwstr>&gt;&lt;pref name="automaticJournalAbbreviations" value="true"/&gt;&lt;pref name="dontAskDelayCitationUpdates" value="true"/&gt;&lt;/prefs&gt;&lt;/data&gt;</vt:lpwstr>
  </property>
</Properties>
</file>