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84.png" ContentType="image/png"/>
  <Override PartName="/word/media/rId56.png" ContentType="image/png"/>
  <Override PartName="/word/media/rId48.png" ContentType="image/png"/>
  <Override PartName="/word/media/rId72.png" ContentType="image/png"/>
  <Override PartName="/word/media/rId68.png" ContentType="image/png"/>
  <Override PartName="/word/media/rId60.png" ContentType="image/png"/>
  <Override PartName="/word/media/rId28.png" ContentType="image/png"/>
  <Override PartName="/word/media/rId32.png" ContentType="image/png"/>
  <Override PartName="/word/media/rId52.png" ContentType="image/png"/>
  <Override PartName="/word/media/rId76.png" ContentType="image/png"/>
  <Override PartName="/word/media/rId80.png" ContentType="image/png"/>
  <Override PartName="/word/media/rId40.png" ContentType="image/png"/>
  <Override PartName="/word/media/rId44.png" ContentType="image/png"/>
  <Override PartName="/word/media/rId36.png" ContentType="image/png"/>
  <Override PartName="/word/media/rId24.png" ContentType="image/png"/>
  <Override PartName="/word/media/rId88.png" ContentType="image/png"/>
  <Override PartName="/word/media/rId92.png" ContentType="image/png"/>
  <Override PartName="/word/media/rId96.png" ContentType="image/png"/>
  <Override PartName="/word/media/rId100.png" ContentType="image/png"/>
  <Override PartName="/word/media/rId104.png" ContentType="image/png"/>
  <Override PartName="/word/media/rId64.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Species</w:t>
      </w:r>
      <w:r>
        <w:t xml:space="preserve"> </w:t>
      </w:r>
      <w:r>
        <w:t xml:space="preserve">figures</w:t>
      </w:r>
      <w:r>
        <w:t xml:space="preserve"> </w:t>
      </w:r>
      <w:r>
        <w:t xml:space="preserve">and</w:t>
      </w:r>
      <w:r>
        <w:t xml:space="preserve"> </w:t>
      </w:r>
      <w:r>
        <w:t xml:space="preserve">tables</w:t>
      </w:r>
    </w:p>
    <w:p>
      <w:pPr>
        <w:pStyle w:val="Author"/>
      </w:pPr>
      <w:r>
        <w:t xml:space="preserve">Marc</w:t>
      </w:r>
      <w:r>
        <w:t xml:space="preserve"> </w:t>
      </w:r>
      <w:r>
        <w:t xml:space="preserve">Nadon</w:t>
      </w:r>
      <w:r>
        <w:t xml:space="preserve"> </w:t>
      </w:r>
      <w:r>
        <w:t xml:space="preserve">and</w:t>
      </w:r>
      <w:r>
        <w:t xml:space="preserve"> </w:t>
      </w:r>
      <w:r>
        <w:t xml:space="preserve">Meg</w:t>
      </w:r>
      <w:r>
        <w:t xml:space="preserve"> </w:t>
      </w:r>
      <w:r>
        <w:t xml:space="preserve">Oshima</w:t>
      </w:r>
    </w:p>
    <w:p>
      <w:pPr>
        <w:pStyle w:val="SourceCode"/>
      </w:pPr>
      <w:r>
        <w:rPr>
          <w:rStyle w:val="VerbatimChar"/>
        </w:rPr>
        <w:t xml:space="preserve">[1] "APVI"</w:t>
      </w:r>
    </w:p>
    <w:tbl>
      <w:tblPr>
        <w:tblStyle w:val="Table"/>
        <w:tblW w:type="pct" w:w="5000"/>
        <w:tblLook w:firstRow="0" w:lastRow="0" w:firstColumn="0" w:lastColumn="0" w:noHBand="0" w:noVBand="0" w:val="0000"/>
      </w:tblPr>
      <w:tblGrid>
        <w:gridCol w:w="7920"/>
      </w:tblGrid>
      <w:tr>
        <w:tc>
          <w:tcPr/>
          <w:bookmarkStart w:id="23" w:name="fig-data"/>
          <w:p>
            <w:pPr>
              <w:pStyle w:val="Figure"/>
              <w:jc w:val="center"/>
            </w:pPr>
            <w:r>
              <w:drawing>
                <wp:inline>
                  <wp:extent cx="3783599" cy="3783599"/>
                  <wp:effectExtent b="0" l="0" r="0" t="0"/>
                  <wp:docPr descr="" title="" id="21" name="Picture"/>
                  <a:graphic>
                    <a:graphicData uri="http://schemas.openxmlformats.org/drawingml/2006/picture">
                      <pic:pic>
                        <pic:nvPicPr>
                          <pic:cNvPr descr="plots/data_plot2.png" id="22" name="Picture"/>
                          <pic:cNvPicPr>
                            <a:picLocks noChangeArrowheads="1" noChangeAspect="1"/>
                          </pic:cNvPicPr>
                        </pic:nvPicPr>
                        <pic:blipFill>
                          <a:blip r:embed="rId20"/>
                          <a:stretch>
                            <a:fillRect/>
                          </a:stretch>
                        </pic:blipFill>
                        <pic:spPr bwMode="auto">
                          <a:xfrm>
                            <a:off x="0" y="0"/>
                            <a:ext cx="3783599" cy="3783599"/>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Summary of data types used in the Stock Synthesis model. Catches include boat-based and shore-based landings from creel surveys (1986-2021), as well as historical catches from reports (1967-1985). The abundance index is from boat-based creel survey</w:t>
            </w:r>
            <w:r>
              <w:t xml:space="preserve"> </w:t>
            </w:r>
            <w:r>
              <w:t xml:space="preserve">“</w:t>
            </w:r>
            <w:r>
              <w:t xml:space="preserve">bottomfishing</w:t>
            </w:r>
            <w:r>
              <w:t xml:space="preserve">”</w:t>
            </w:r>
            <w:r>
              <w:t xml:space="preserve"> </w:t>
            </w:r>
            <w:r>
              <w:t xml:space="preserve">gear type. Length compositions are from creel surveys (all years) and the biosampling program (2010-2015), filtered for the</w:t>
            </w:r>
            <w:r>
              <w:t xml:space="preserve"> </w:t>
            </w:r>
            <w:r>
              <w:t xml:space="preserve">“</w:t>
            </w:r>
            <w:r>
              <w:t xml:space="preserve">bottomfishing</w:t>
            </w:r>
            <w:r>
              <w:t xml:space="preserve">”</w:t>
            </w:r>
            <w:r>
              <w:t xml:space="preserve"> </w:t>
            </w:r>
            <w:r>
              <w:t xml:space="preserve">gear.</w:t>
            </w:r>
          </w:p>
          <w:bookmarkEnd w:id="23"/>
        </w:tc>
      </w:tr>
    </w:tbl>
    <w:tbl>
      <w:tblPr>
        <w:tblStyle w:val="Table"/>
        <w:tblW w:type="pct" w:w="5000"/>
        <w:tblLook w:firstRow="0" w:lastRow="0" w:firstColumn="0" w:lastColumn="0" w:noHBand="0" w:noVBand="0" w:val="0000"/>
      </w:tblPr>
      <w:tblGrid>
        <w:gridCol w:w="7920"/>
      </w:tblGrid>
      <w:tr>
        <w:tc>
          <w:tcPr/>
          <w:bookmarkStart w:id="27" w:name="fig-growth"/>
          <w:p>
            <w:pPr>
              <w:pStyle w:val="Figure"/>
              <w:jc w:val="center"/>
            </w:pPr>
            <w:r>
              <w:drawing>
                <wp:inline>
                  <wp:extent cx="5399999" cy="2519999"/>
                  <wp:effectExtent b="0" l="0" r="0" t="0"/>
                  <wp:docPr descr="" title="" id="25" name="Picture"/>
                  <a:graphic>
                    <a:graphicData uri="http://schemas.openxmlformats.org/drawingml/2006/picture">
                      <pic:pic>
                        <pic:nvPicPr>
                          <pic:cNvPr descr="bootstrap/02_Growth.png" id="26" name="Picture"/>
                          <pic:cNvPicPr>
                            <a:picLocks noChangeArrowheads="1" noChangeAspect="1"/>
                          </pic:cNvPicPr>
                        </pic:nvPicPr>
                        <pic:blipFill>
                          <a:blip r:embed="rId24"/>
                          <a:stretch>
                            <a:fillRect/>
                          </a:stretch>
                        </pic:blipFill>
                        <pic:spPr bwMode="auto">
                          <a:xfrm>
                            <a:off x="0" y="0"/>
                            <a:ext cx="5399999" cy="2519999"/>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Growth curve following a Von Bertalanffy model with 95% confidence intervals associated with the CV Linf parameter. The central growth platoon (solid line) and the two secondary ones (dashed lines) used in the model are also displayed.</w:t>
            </w:r>
          </w:p>
          <w:bookmarkEnd w:id="27"/>
        </w:tc>
      </w:tr>
    </w:tbl>
    <w:tbl>
      <w:tblPr>
        <w:tblStyle w:val="Table"/>
        <w:tblW w:type="pct" w:w="5000"/>
        <w:tblLook w:firstRow="0" w:lastRow="0" w:firstColumn="0" w:lastColumn="0" w:noHBand="0" w:noVBand="0" w:val="0000"/>
      </w:tblPr>
      <w:tblGrid>
        <w:gridCol w:w="3960"/>
        <w:gridCol w:w="3960"/>
      </w:tblGrid>
      <w:tr>
        <w:tc>
          <w:tcPr/>
          <w:tbl>
            <w:tblPr>
              <w:tblStyle w:val="Table"/>
              <w:tblW w:type="pct" w:w="5000"/>
              <w:tblLook w:firstRow="0" w:lastRow="0" w:firstColumn="0" w:lastColumn="0" w:noHBand="0" w:noVBand="0" w:val="0000"/>
            </w:tblPr>
            <w:tblGrid>
              <w:gridCol w:w="7920"/>
            </w:tblGrid>
            <w:tr>
              <w:tc>
                <w:tcPr/>
                <w:bookmarkStart w:id="31" w:name="fig-repro-1"/>
                <w:p>
                  <w:pPr>
                    <w:pStyle w:val="Figure"/>
                    <w:jc w:val="center"/>
                    <w:jc w:val="center"/>
                  </w:pPr>
                  <w:r>
                    <w:drawing>
                      <wp:inline>
                        <wp:extent cx="2971800" cy="2122714"/>
                        <wp:effectExtent b="0" l="0" r="0" t="0"/>
                        <wp:docPr descr="" title="" id="29" name="Picture"/>
                        <a:graphic>
                          <a:graphicData uri="http://schemas.openxmlformats.org/drawingml/2006/picture">
                            <pic:pic>
                              <pic:nvPicPr>
                                <pic:cNvPr descr="APVI_65_Base_model_diags_report_files/figure-html/maturity-1.png" id="30" name="Picture"/>
                                <pic:cNvPicPr>
                                  <a:picLocks noChangeArrowheads="1" noChangeAspect="1"/>
                                </pic:cNvPicPr>
                              </pic:nvPicPr>
                              <pic:blipFill>
                                <a:blip r:embed="rId28"/>
                                <a:stretch>
                                  <a:fillRect/>
                                </a:stretch>
                              </pic:blipFill>
                              <pic:spPr bwMode="auto">
                                <a:xfrm>
                                  <a:off x="0" y="0"/>
                                  <a:ext cx="2971800" cy="2122714"/>
                                </a:xfrm>
                                <a:prstGeom prst="rect">
                                  <a:avLst/>
                                </a:prstGeom>
                                <a:noFill/>
                                <a:ln w="9525">
                                  <a:noFill/>
                                  <a:headEnd/>
                                  <a:tailEnd/>
                                </a:ln>
                              </pic:spPr>
                            </pic:pic>
                          </a:graphicData>
                        </a:graphic>
                      </wp:inline>
                    </w:drawing>
                  </w:r>
                </w:p>
                <w:p>
                  <w:pPr>
                    <w:jc w:val="center"/>
                    <w:jc w:val="center"/>
                  </w:pPr>
                  <w:pPr>
                    <w:jc w:val="start"/>
                    <w:spacing w:before="200"/>
                    <w:pStyle w:val="ImageCaption"/>
                  </w:pPr>
                  <w:r>
                    <w:t xml:space="preserve">Figure 3: Maturity at length (FL; left) and fecundity at weight (right) used in the stock assessment model.</w:t>
                  </w:r>
                </w:p>
                <w:bookmarkEnd w:id="31"/>
              </w:tc>
            </w:tr>
          </w:tbl>
          <w:p/>
        </w:tc>
        <w:tc>
          <w:tcPr/>
          <w:tbl>
            <w:tblPr>
              <w:tblStyle w:val="Table"/>
              <w:tblW w:type="pct" w:w="5000"/>
              <w:tblLook w:firstRow="0" w:lastRow="0" w:firstColumn="0" w:lastColumn="0" w:noHBand="0" w:noVBand="0" w:val="0000"/>
            </w:tblPr>
            <w:tblGrid>
              <w:gridCol w:w="7920"/>
            </w:tblGrid>
            <w:tr>
              <w:tc>
                <w:tcPr/>
                <w:bookmarkStart w:id="35" w:name="fig-repro-2"/>
                <w:p>
                  <w:pPr>
                    <w:pStyle w:val="Figure"/>
                    <w:jc w:val="center"/>
                    <w:jc w:val="center"/>
                  </w:pPr>
                  <w:r>
                    <w:drawing>
                      <wp:inline>
                        <wp:extent cx="2971800" cy="2122714"/>
                        <wp:effectExtent b="0" l="0" r="0" t="0"/>
                        <wp:docPr descr="" title="" id="33" name="Picture"/>
                        <a:graphic>
                          <a:graphicData uri="http://schemas.openxmlformats.org/drawingml/2006/picture">
                            <pic:pic>
                              <pic:nvPicPr>
                                <pic:cNvPr descr="APVI_65_Base_model_diags_report_files/figure-html/maturity-2.png" id="34" name="Picture"/>
                                <pic:cNvPicPr>
                                  <a:picLocks noChangeArrowheads="1" noChangeAspect="1"/>
                                </pic:cNvPicPr>
                              </pic:nvPicPr>
                              <pic:blipFill>
                                <a:blip r:embed="rId32"/>
                                <a:stretch>
                                  <a:fillRect/>
                                </a:stretch>
                              </pic:blipFill>
                              <pic:spPr bwMode="auto">
                                <a:xfrm>
                                  <a:off x="0" y="0"/>
                                  <a:ext cx="2971800" cy="2122714"/>
                                </a:xfrm>
                                <a:prstGeom prst="rect">
                                  <a:avLst/>
                                </a:prstGeom>
                                <a:noFill/>
                                <a:ln w="9525">
                                  <a:noFill/>
                                  <a:headEnd/>
                                  <a:tailEnd/>
                                </a:ln>
                              </pic:spPr>
                            </pic:pic>
                          </a:graphicData>
                        </a:graphic>
                      </wp:inline>
                    </w:drawing>
                  </w:r>
                </w:p>
                <w:p>
                  <w:pPr>
                    <w:jc w:val="center"/>
                    <w:jc w:val="center"/>
                  </w:pPr>
                  <w:pPr>
                    <w:jc w:val="start"/>
                    <w:spacing w:before="200"/>
                    <w:pStyle w:val="ImageCaption"/>
                  </w:pPr>
                  <w:r>
                    <w:t xml:space="preserve">Figure 4: Maturity at length (FL; left) and fecundity at weight (right) used in the stock assessment model.</w:t>
                  </w:r>
                </w:p>
                <w:bookmarkEnd w:id="35"/>
              </w:tc>
            </w:tr>
          </w:tbl>
          <w:p/>
        </w:tc>
      </w:tr>
    </w:tbl>
    <w:tbl>
      <w:tblPr>
        <w:tblStyle w:val="Table"/>
        <w:tblW w:type="pct" w:w="5000"/>
        <w:tblLook w:firstRow="0" w:lastRow="0" w:firstColumn="0" w:lastColumn="0" w:noHBand="0" w:noVBand="0" w:val="0000"/>
      </w:tblPr>
      <w:tblGrid>
        <w:gridCol w:w="7920"/>
      </w:tblGrid>
      <w:tr>
        <w:tc>
          <w:tcPr/>
          <w:bookmarkStart w:id="39" w:name="fig-catch"/>
          <w:p>
            <w:pPr>
              <w:pStyle w:val="Figure"/>
              <w:jc w:val="center"/>
            </w:pPr>
            <w:r>
              <w:drawing>
                <wp:inline>
                  <wp:extent cx="5396399" cy="2487599"/>
                  <wp:effectExtent b="0" l="0" r="0" t="0"/>
                  <wp:docPr descr="" title="" id="37" name="Picture"/>
                  <a:graphic>
                    <a:graphicData uri="http://schemas.openxmlformats.org/drawingml/2006/picture">
                      <pic:pic>
                        <pic:nvPicPr>
                          <pic:cNvPr descr="bootstrap/01_Catch.png" id="38" name="Picture"/>
                          <pic:cNvPicPr>
                            <a:picLocks noChangeArrowheads="1" noChangeAspect="1"/>
                          </pic:cNvPicPr>
                        </pic:nvPicPr>
                        <pic:blipFill>
                          <a:blip r:embed="rId36"/>
                          <a:stretch>
                            <a:fillRect/>
                          </a:stretch>
                        </pic:blipFill>
                        <pic:spPr bwMode="auto">
                          <a:xfrm>
                            <a:off x="0" y="0"/>
                            <a:ext cx="5396399" cy="2487599"/>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Annual total catch in metric tons (mt). The vertical dashed line indicates the start of the creel survey program (1986), with older data coming from historical catch reports.</w:t>
            </w:r>
          </w:p>
          <w:bookmarkEnd w:id="39"/>
        </w:tc>
      </w:tr>
    </w:tbl>
    <w:tbl>
      <w:tblPr>
        <w:tblStyle w:val="Table"/>
        <w:tblW w:type="pct" w:w="5000"/>
        <w:tblLook w:firstRow="0" w:lastRow="0" w:firstColumn="0" w:lastColumn="0" w:noHBand="0" w:noVBand="0" w:val="0000"/>
      </w:tblPr>
      <w:tblGrid>
        <w:gridCol w:w="3960"/>
        <w:gridCol w:w="3960"/>
      </w:tblGrid>
      <w:tr>
        <w:tc>
          <w:tcPr/>
          <w:tbl>
            <w:tblPr>
              <w:tblStyle w:val="Table"/>
              <w:tblW w:type="pct" w:w="5000"/>
              <w:tblLook w:firstRow="0" w:lastRow="0" w:firstColumn="0" w:lastColumn="0" w:noHBand="0" w:noVBand="0" w:val="0000"/>
            </w:tblPr>
            <w:tblGrid>
              <w:gridCol w:w="7920"/>
            </w:tblGrid>
            <w:tr>
              <w:tc>
                <w:tcPr/>
                <w:bookmarkStart w:id="43" w:name="fig-selectivity-1"/>
                <w:p>
                  <w:pPr>
                    <w:pStyle w:val="Figure"/>
                    <w:jc w:val="center"/>
                    <w:jc w:val="center"/>
                  </w:pPr>
                  <w:r>
                    <w:drawing>
                      <wp:inline>
                        <wp:extent cx="2971800" cy="2122714"/>
                        <wp:effectExtent b="0" l="0" r="0" t="0"/>
                        <wp:docPr descr="" title="" id="41" name="Picture"/>
                        <a:graphic>
                          <a:graphicData uri="http://schemas.openxmlformats.org/drawingml/2006/picture">
                            <pic:pic>
                              <pic:nvPicPr>
                                <pic:cNvPr descr="APVI_65_Base_model_diags_report_files/figure-html/selectivity-1.png" id="42" name="Picture"/>
                                <pic:cNvPicPr>
                                  <a:picLocks noChangeArrowheads="1" noChangeAspect="1"/>
                                </pic:cNvPicPr>
                              </pic:nvPicPr>
                              <pic:blipFill>
                                <a:blip r:embed="rId40"/>
                                <a:stretch>
                                  <a:fillRect/>
                                </a:stretch>
                              </pic:blipFill>
                              <pic:spPr bwMode="auto">
                                <a:xfrm>
                                  <a:off x="0" y="0"/>
                                  <a:ext cx="2971800" cy="2122714"/>
                                </a:xfrm>
                                <a:prstGeom prst="rect">
                                  <a:avLst/>
                                </a:prstGeom>
                                <a:noFill/>
                                <a:ln w="9525">
                                  <a:noFill/>
                                  <a:headEnd/>
                                  <a:tailEnd/>
                                </a:ln>
                              </pic:spPr>
                            </pic:pic>
                          </a:graphicData>
                        </a:graphic>
                      </wp:inline>
                    </w:drawing>
                  </w:r>
                </w:p>
                <w:p>
                  <w:pPr>
                    <w:jc w:val="center"/>
                    <w:jc w:val="center"/>
                  </w:pPr>
                  <w:pPr>
                    <w:jc w:val="start"/>
                    <w:spacing w:before="200"/>
                    <w:pStyle w:val="ImageCaption"/>
                  </w:pPr>
                  <w:r>
                    <w:t xml:space="preserve">Figure 6: Length-based selectivity estimated by the Stock Synthesis model (left) and the resulting selectivity-at-age for all 3 growth platoons (right).</w:t>
                  </w:r>
                </w:p>
                <w:bookmarkEnd w:id="43"/>
              </w:tc>
            </w:tr>
          </w:tbl>
          <w:p/>
        </w:tc>
        <w:tc>
          <w:tcPr/>
          <w:tbl>
            <w:tblPr>
              <w:tblStyle w:val="Table"/>
              <w:tblW w:type="pct" w:w="5000"/>
              <w:tblLook w:firstRow="0" w:lastRow="0" w:firstColumn="0" w:lastColumn="0" w:noHBand="0" w:noVBand="0" w:val="0000"/>
            </w:tblPr>
            <w:tblGrid>
              <w:gridCol w:w="7920"/>
            </w:tblGrid>
            <w:tr>
              <w:tc>
                <w:tcPr/>
                <w:bookmarkStart w:id="47" w:name="fig-selectivity-2"/>
                <w:p>
                  <w:pPr>
                    <w:pStyle w:val="Figure"/>
                    <w:jc w:val="center"/>
                    <w:jc w:val="center"/>
                  </w:pPr>
                  <w:r>
                    <w:drawing>
                      <wp:inline>
                        <wp:extent cx="2971800" cy="2122714"/>
                        <wp:effectExtent b="0" l="0" r="0" t="0"/>
                        <wp:docPr descr="" title="" id="45" name="Picture"/>
                        <a:graphic>
                          <a:graphicData uri="http://schemas.openxmlformats.org/drawingml/2006/picture">
                            <pic:pic>
                              <pic:nvPicPr>
                                <pic:cNvPr descr="APVI_65_Base_model_diags_report_files/figure-html/selectivity-2.png" id="46" name="Picture"/>
                                <pic:cNvPicPr>
                                  <a:picLocks noChangeArrowheads="1" noChangeAspect="1"/>
                                </pic:cNvPicPr>
                              </pic:nvPicPr>
                              <pic:blipFill>
                                <a:blip r:embed="rId44"/>
                                <a:stretch>
                                  <a:fillRect/>
                                </a:stretch>
                              </pic:blipFill>
                              <pic:spPr bwMode="auto">
                                <a:xfrm>
                                  <a:off x="0" y="0"/>
                                  <a:ext cx="2971800" cy="2122714"/>
                                </a:xfrm>
                                <a:prstGeom prst="rect">
                                  <a:avLst/>
                                </a:prstGeom>
                                <a:noFill/>
                                <a:ln w="9525">
                                  <a:noFill/>
                                  <a:headEnd/>
                                  <a:tailEnd/>
                                </a:ln>
                              </pic:spPr>
                            </pic:pic>
                          </a:graphicData>
                        </a:graphic>
                      </wp:inline>
                    </w:drawing>
                  </w:r>
                </w:p>
                <w:p>
                  <w:pPr>
                    <w:jc w:val="center"/>
                    <w:jc w:val="center"/>
                  </w:pPr>
                  <w:pPr>
                    <w:jc w:val="start"/>
                    <w:spacing w:before="200"/>
                    <w:pStyle w:val="ImageCaption"/>
                  </w:pPr>
                  <w:r>
                    <w:t xml:space="preserve">Figure 7: Length-based selectivity estimated by the Stock Synthesis model (left) and the resulting selectivity-at-age for all 3 growth platoons (right).</w:t>
                  </w:r>
                </w:p>
                <w:bookmarkEnd w:id="47"/>
              </w:tc>
            </w:tr>
          </w:tbl>
          <w:p/>
        </w:tc>
      </w:tr>
    </w:tbl>
    <w:tbl>
      <w:tblPr>
        <w:tblStyle w:val="Table"/>
        <w:tblW w:type="pct" w:w="5000"/>
        <w:tblLook w:firstRow="0" w:lastRow="0" w:firstColumn="0" w:lastColumn="0" w:noHBand="0" w:noVBand="0" w:val="0000"/>
      </w:tblPr>
      <w:tblGrid>
        <w:gridCol w:w="3960"/>
        <w:gridCol w:w="3960"/>
      </w:tblGrid>
      <w:tr>
        <w:tc>
          <w:tcPr/>
          <w:tbl>
            <w:tblPr>
              <w:tblStyle w:val="Table"/>
              <w:tblW w:type="pct" w:w="5000"/>
              <w:tblLook w:firstRow="0" w:lastRow="0" w:firstColumn="0" w:lastColumn="0" w:noHBand="0" w:noVBand="0" w:val="0000"/>
            </w:tblPr>
            <w:tblGrid>
              <w:gridCol w:w="7920"/>
            </w:tblGrid>
            <w:tr>
              <w:tc>
                <w:tcPr/>
                <w:bookmarkStart w:id="51" w:name="fig-jitter-1"/>
                <w:p>
                  <w:pPr>
                    <w:pStyle w:val="Figure"/>
                    <w:jc w:val="center"/>
                    <w:jc w:val="center"/>
                  </w:pPr>
                  <w:r>
                    <w:drawing>
                      <wp:inline>
                        <wp:extent cx="2971800" cy="2122714"/>
                        <wp:effectExtent b="0" l="0" r="0" t="0"/>
                        <wp:docPr descr="" title="" id="49" name="Picture"/>
                        <a:graphic>
                          <a:graphicData uri="http://schemas.openxmlformats.org/drawingml/2006/picture">
                            <pic:pic>
                              <pic:nvPicPr>
                                <pic:cNvPr descr="APVI_65_Base_model_diags_report_files/figure-html/jitter-1.png" id="50" name="Picture"/>
                                <pic:cNvPicPr>
                                  <a:picLocks noChangeArrowheads="1" noChangeAspect="1"/>
                                </pic:cNvPicPr>
                              </pic:nvPicPr>
                              <pic:blipFill>
                                <a:blip r:embed="rId48"/>
                                <a:stretch>
                                  <a:fillRect/>
                                </a:stretch>
                              </pic:blipFill>
                              <pic:spPr bwMode="auto">
                                <a:xfrm>
                                  <a:off x="0" y="0"/>
                                  <a:ext cx="2971800" cy="2122714"/>
                                </a:xfrm>
                                <a:prstGeom prst="rect">
                                  <a:avLst/>
                                </a:prstGeom>
                                <a:noFill/>
                                <a:ln w="9525">
                                  <a:noFill/>
                                  <a:headEnd/>
                                  <a:tailEnd/>
                                </a:ln>
                              </pic:spPr>
                            </pic:pic>
                          </a:graphicData>
                        </a:graphic>
                      </wp:inline>
                    </w:drawing>
                  </w:r>
                </w:p>
                <w:p>
                  <w:pPr>
                    <w:jc w:val="center"/>
                    <w:jc w:val="center"/>
                  </w:pPr>
                  <w:pPr>
                    <w:jc w:val="start"/>
                    <w:spacing w:before="200"/>
                    <w:pStyle w:val="ImageCaption"/>
                  </w:pPr>
                  <w:r>
                    <w:t xml:space="preserve">Figure 8: Results of jitter analysis where one hundred models were run with randomly varying initial parameter values. Left panel shows the variation in minimum model likelihood value for all 100 model runs. Right panel shows the variation in SSB time series for the 100 different model runs.</w:t>
                  </w:r>
                </w:p>
                <w:bookmarkEnd w:id="51"/>
              </w:tc>
            </w:tr>
          </w:tbl>
          <w:p/>
        </w:tc>
        <w:tc>
          <w:tcPr/>
          <w:tbl>
            <w:tblPr>
              <w:tblStyle w:val="Table"/>
              <w:tblW w:type="pct" w:w="5000"/>
              <w:tblLook w:firstRow="0" w:lastRow="0" w:firstColumn="0" w:lastColumn="0" w:noHBand="0" w:noVBand="0" w:val="0000"/>
            </w:tblPr>
            <w:tblGrid>
              <w:gridCol w:w="7920"/>
            </w:tblGrid>
            <w:tr>
              <w:tc>
                <w:tcPr/>
                <w:bookmarkStart w:id="55" w:name="fig-jitter-2"/>
                <w:p>
                  <w:pPr>
                    <w:pStyle w:val="Figure"/>
                    <w:jc w:val="center"/>
                    <w:jc w:val="center"/>
                  </w:pPr>
                  <w:r>
                    <w:drawing>
                      <wp:inline>
                        <wp:extent cx="2971800" cy="2122714"/>
                        <wp:effectExtent b="0" l="0" r="0" t="0"/>
                        <wp:docPr descr="" title="" id="53" name="Picture"/>
                        <a:graphic>
                          <a:graphicData uri="http://schemas.openxmlformats.org/drawingml/2006/picture">
                            <pic:pic>
                              <pic:nvPicPr>
                                <pic:cNvPr descr="APVI_65_Base_model_diags_report_files/figure-html/model-comparisons-1.png" id="54" name="Picture"/>
                                <pic:cNvPicPr>
                                  <a:picLocks noChangeArrowheads="1" noChangeAspect="1"/>
                                </pic:cNvPicPr>
                              </pic:nvPicPr>
                              <pic:blipFill>
                                <a:blip r:embed="rId52"/>
                                <a:stretch>
                                  <a:fillRect/>
                                </a:stretch>
                              </pic:blipFill>
                              <pic:spPr bwMode="auto">
                                <a:xfrm>
                                  <a:off x="0" y="0"/>
                                  <a:ext cx="2971800" cy="2122714"/>
                                </a:xfrm>
                                <a:prstGeom prst="rect">
                                  <a:avLst/>
                                </a:prstGeom>
                                <a:noFill/>
                                <a:ln w="9525">
                                  <a:noFill/>
                                  <a:headEnd/>
                                  <a:tailEnd/>
                                </a:ln>
                              </pic:spPr>
                            </pic:pic>
                          </a:graphicData>
                        </a:graphic>
                      </wp:inline>
                    </w:drawing>
                  </w:r>
                </w:p>
                <w:p>
                  <w:pPr>
                    <w:jc w:val="center"/>
                    <w:jc w:val="center"/>
                  </w:pPr>
                  <w:pPr>
                    <w:jc w:val="start"/>
                    <w:spacing w:before="200"/>
                    <w:pStyle w:val="ImageCaption"/>
                  </w:pPr>
                  <w:r>
                    <w:t xml:space="preserve">Figure 9: Results of jitter analysis where one hundred models were run with randomly varying initial parameter values. Left panel shows the variation in minimum model likelihood value for all 100 model runs. Right panel shows the variation in SSB time series for the 100 different model runs.</w:t>
                  </w:r>
                </w:p>
                <w:bookmarkEnd w:id="55"/>
              </w:tc>
            </w:tr>
          </w:tbl>
          <w:p/>
        </w:tc>
      </w:tr>
    </w:tbl>
    <w:tbl>
      <w:tblPr>
        <w:tblStyle w:val="Table"/>
        <w:tblW w:type="pct" w:w="5000"/>
        <w:tblLook w:firstRow="0" w:lastRow="0" w:firstColumn="0" w:lastColumn="0" w:noHBand="0" w:noVBand="0" w:val="0000"/>
      </w:tblPr>
      <w:tblGrid>
        <w:gridCol w:w="7920"/>
      </w:tblGrid>
      <w:tr>
        <w:tc>
          <w:tcPr/>
          <w:bookmarkStart w:id="59" w:name="fig-indexfits"/>
          <w:p>
            <w:pPr>
              <w:pStyle w:val="Figure"/>
              <w:jc w:val="center"/>
            </w:pPr>
            <w:r>
              <w:drawing>
                <wp:inline>
                  <wp:extent cx="3959999" cy="2836799"/>
                  <wp:effectExtent b="0" l="0" r="0" t="0"/>
                  <wp:docPr descr="" title="" id="57" name="Picture"/>
                  <a:graphic>
                    <a:graphicData uri="http://schemas.openxmlformats.org/drawingml/2006/picture">
                      <pic:pic>
                        <pic:nvPicPr>
                          <pic:cNvPr descr="APVI_65_Base_model_diags_report_files/figure-html/indexfits-1.png" id="58" name="Picture"/>
                          <pic:cNvPicPr>
                            <a:picLocks noChangeArrowheads="1" noChangeAspect="1"/>
                          </pic:cNvPicPr>
                        </pic:nvPicPr>
                        <pic:blipFill>
                          <a:blip r:embed="rId56"/>
                          <a:stretch>
                            <a:fillRect/>
                          </a:stretch>
                        </pic:blipFill>
                        <pic:spPr bwMode="auto">
                          <a:xfrm>
                            <a:off x="0" y="0"/>
                            <a:ext cx="3959999" cy="2836799"/>
                          </a:xfrm>
                          <a:prstGeom prst="rect">
                            <a:avLst/>
                          </a:prstGeom>
                          <a:noFill/>
                          <a:ln w="9525">
                            <a:noFill/>
                            <a:headEnd/>
                            <a:tailEnd/>
                          </a:ln>
                        </pic:spPr>
                      </pic:pic>
                    </a:graphicData>
                  </a:graphic>
                </wp:inline>
              </w:drawing>
            </w:r>
          </w:p>
          <w:p>
            <w:pPr>
              <w:jc w:val="center"/>
            </w:pPr>
            <w:pPr>
              <w:jc w:val="start"/>
              <w:spacing w:before="200"/>
              <w:pStyle w:val="ImageCaption"/>
            </w:pPr>
            <w:r>
              <w:t xml:space="preserve">Figure 10: The root mean square error (RMSE) is 11.40</w:t>
            </w:r>
          </w:p>
          <w:bookmarkEnd w:id="59"/>
        </w:tc>
      </w:tr>
    </w:tbl>
    <w:tbl>
      <w:tblPr>
        <w:tblStyle w:val="Table"/>
        <w:tblW w:type="pct" w:w="5000"/>
        <w:tblLook w:firstRow="0" w:lastRow="0" w:firstColumn="0" w:lastColumn="0" w:noHBand="0" w:noVBand="0" w:val="0000"/>
      </w:tblPr>
      <w:tblGrid>
        <w:gridCol w:w="7920"/>
      </w:tblGrid>
      <w:tr>
        <w:tc>
          <w:tcPr/>
          <w:bookmarkStart w:id="63" w:name="fig-lenfits"/>
          <w:p>
            <w:pPr>
              <w:pStyle w:val="Figure"/>
              <w:jc w:val="center"/>
            </w:pPr>
            <w:r>
              <w:drawing>
                <wp:inline>
                  <wp:extent cx="3959999" cy="2836799"/>
                  <wp:effectExtent b="0" l="0" r="0" t="0"/>
                  <wp:docPr descr="" title="" id="61" name="Picture"/>
                  <a:graphic>
                    <a:graphicData uri="http://schemas.openxmlformats.org/drawingml/2006/picture">
                      <pic:pic>
                        <pic:nvPicPr>
                          <pic:cNvPr descr="APVI_65_Base_model_diags_report_files/figure-html/lenfits-1.png" id="62" name="Picture"/>
                          <pic:cNvPicPr>
                            <a:picLocks noChangeArrowheads="1" noChangeAspect="1"/>
                          </pic:cNvPicPr>
                        </pic:nvPicPr>
                        <pic:blipFill>
                          <a:blip r:embed="rId60"/>
                          <a:stretch>
                            <a:fillRect/>
                          </a:stretch>
                        </pic:blipFill>
                        <pic:spPr bwMode="auto">
                          <a:xfrm>
                            <a:off x="0" y="0"/>
                            <a:ext cx="3959999" cy="2836799"/>
                          </a:xfrm>
                          <a:prstGeom prst="rect">
                            <a:avLst/>
                          </a:prstGeom>
                          <a:noFill/>
                          <a:ln w="9525">
                            <a:noFill/>
                            <a:headEnd/>
                            <a:tailEnd/>
                          </a:ln>
                        </pic:spPr>
                      </pic:pic>
                    </a:graphicData>
                  </a:graphic>
                </wp:inline>
              </w:drawing>
            </w:r>
          </w:p>
          <w:p>
            <w:pPr>
              <w:jc w:val="center"/>
            </w:pPr>
            <w:pPr>
              <w:jc w:val="start"/>
              <w:spacing w:before="200"/>
              <w:pStyle w:val="ImageCaption"/>
            </w:pPr>
            <w:r>
              <w:t xml:space="preserve">Figure 11: The root mean square error (RMSE) is 5.00</w:t>
            </w:r>
          </w:p>
          <w:bookmarkEnd w:id="63"/>
        </w:tc>
      </w:tr>
    </w:tbl>
    <w:tbl>
      <w:tblPr>
        <w:tblStyle w:val="Table"/>
        <w:tblW w:type="pct" w:w="5000"/>
        <w:tblLook w:firstRow="0" w:lastRow="0" w:firstColumn="0" w:lastColumn="0" w:noHBand="0" w:noVBand="0" w:val="0000"/>
      </w:tblPr>
      <w:tblGrid>
        <w:gridCol w:w="7920"/>
      </w:tblGrid>
      <w:tr>
        <w:tc>
          <w:tcPr/>
          <w:bookmarkStart w:id="67" w:name="fig-pearsonresid"/>
          <w:p>
            <w:pPr>
              <w:pStyle w:val="Figure"/>
              <w:jc w:val="center"/>
            </w:pPr>
            <w:r>
              <w:drawing>
                <wp:inline>
                  <wp:extent cx="2735999" cy="2735999"/>
                  <wp:effectExtent b="0" l="0" r="0" t="0"/>
                  <wp:docPr descr="" title="" id="65" name="Picture"/>
                  <a:graphic>
                    <a:graphicData uri="http://schemas.openxmlformats.org/drawingml/2006/picture">
                      <pic:pic>
                        <pic:nvPicPr>
                          <pic:cNvPr descr="plots/comp_lenfit__multi-fleet_comparison.png" id="66" name="Picture"/>
                          <pic:cNvPicPr>
                            <a:picLocks noChangeArrowheads="1" noChangeAspect="1"/>
                          </pic:cNvPicPr>
                        </pic:nvPicPr>
                        <pic:blipFill>
                          <a:blip r:embed="rId64"/>
                          <a:stretch>
                            <a:fillRect/>
                          </a:stretch>
                        </pic:blipFill>
                        <pic:spPr bwMode="auto">
                          <a:xfrm>
                            <a:off x="0" y="0"/>
                            <a:ext cx="2735999" cy="2735999"/>
                          </a:xfrm>
                          <a:prstGeom prst="rect">
                            <a:avLst/>
                          </a:prstGeom>
                          <a:noFill/>
                          <a:ln w="9525">
                            <a:noFill/>
                            <a:headEnd/>
                            <a:tailEnd/>
                          </a:ln>
                        </pic:spPr>
                      </pic:pic>
                    </a:graphicData>
                  </a:graphic>
                </wp:inline>
              </w:drawing>
            </w:r>
          </w:p>
          <w:p>
            <w:pPr>
              <w:jc w:val="center"/>
            </w:pPr>
            <w:pPr>
              <w:jc w:val="start"/>
              <w:spacing w:before="200"/>
              <w:pStyle w:val="ImageCaption"/>
            </w:pPr>
            <w:r>
              <w:t xml:space="preserve">Figure 12: Pearson residual plot of observed vs. expected data by size bin and year.</w:t>
            </w:r>
          </w:p>
          <w:bookmarkEnd w:id="67"/>
        </w:tc>
      </w:tr>
    </w:tbl>
    <w:tbl>
      <w:tblPr>
        <w:tblStyle w:val="Table"/>
        <w:tblW w:type="pct" w:w="5000"/>
        <w:tblLook w:firstRow="0" w:lastRow="0" w:firstColumn="0" w:lastColumn="0" w:noHBand="0" w:noVBand="0" w:val="0000"/>
      </w:tblPr>
      <w:tblGrid>
        <w:gridCol w:w="3960"/>
        <w:gridCol w:w="3960"/>
      </w:tblGrid>
      <w:tr>
        <w:tc>
          <w:tcPr/>
          <w:tbl>
            <w:tblPr>
              <w:tblStyle w:val="Table"/>
              <w:tblW w:type="pct" w:w="5000"/>
              <w:tblLook w:firstRow="0" w:lastRow="0" w:firstColumn="0" w:lastColumn="0" w:noHBand="0" w:noVBand="0" w:val="0000"/>
            </w:tblPr>
            <w:tblGrid>
              <w:gridCol w:w="7920"/>
            </w:tblGrid>
            <w:tr>
              <w:tc>
                <w:tcPr/>
                <w:bookmarkStart w:id="71" w:name="fig-lencompfits-1"/>
                <w:p>
                  <w:pPr>
                    <w:pStyle w:val="Figure"/>
                    <w:jc w:val="center"/>
                    <w:jc w:val="center"/>
                  </w:pPr>
                  <w:r>
                    <w:drawing>
                      <wp:inline>
                        <wp:extent cx="2971800" cy="2122714"/>
                        <wp:effectExtent b="0" l="0" r="0" t="0"/>
                        <wp:docPr descr="" title="" id="69" name="Picture"/>
                        <a:graphic>
                          <a:graphicData uri="http://schemas.openxmlformats.org/drawingml/2006/picture">
                            <pic:pic>
                              <pic:nvPicPr>
                                <pic:cNvPr descr="APVI_65_Base_model_diags_report_files/figure-html/lencompfits-2.png" id="70" name="Picture"/>
                                <pic:cNvPicPr>
                                  <a:picLocks noChangeArrowheads="1" noChangeAspect="1"/>
                                </pic:cNvPicPr>
                              </pic:nvPicPr>
                              <pic:blipFill>
                                <a:blip r:embed="rId68"/>
                                <a:stretch>
                                  <a:fillRect/>
                                </a:stretch>
                              </pic:blipFill>
                              <pic:spPr bwMode="auto">
                                <a:xfrm>
                                  <a:off x="0" y="0"/>
                                  <a:ext cx="2971800" cy="2122714"/>
                                </a:xfrm>
                                <a:prstGeom prst="rect">
                                  <a:avLst/>
                                </a:prstGeom>
                                <a:noFill/>
                                <a:ln w="9525">
                                  <a:noFill/>
                                  <a:headEnd/>
                                  <a:tailEnd/>
                                </a:ln>
                              </pic:spPr>
                            </pic:pic>
                          </a:graphicData>
                        </a:graphic>
                      </wp:inline>
                    </w:drawing>
                  </w:r>
                </w:p>
                <w:p>
                  <w:pPr>
                    <w:jc w:val="center"/>
                    <w:jc w:val="center"/>
                  </w:pPr>
                  <w:pPr>
                    <w:jc w:val="start"/>
                    <w:spacing w:before="200"/>
                    <w:pStyle w:val="ImageCaption"/>
                  </w:pPr>
                  <w:r>
                    <w:t xml:space="preserve">Figure 13: Observed (gray area) vs. expected (green line) abundance-at-length from bottomfishing catch by year (left) and overall (right).</w:t>
                  </w:r>
                </w:p>
                <w:bookmarkEnd w:id="71"/>
              </w:tc>
            </w:tr>
          </w:tbl>
          <w:p/>
        </w:tc>
        <w:tc>
          <w:tcPr/>
          <w:tbl>
            <w:tblPr>
              <w:tblStyle w:val="Table"/>
              <w:tblW w:type="pct" w:w="5000"/>
              <w:tblLook w:firstRow="0" w:lastRow="0" w:firstColumn="0" w:lastColumn="0" w:noHBand="0" w:noVBand="0" w:val="0000"/>
            </w:tblPr>
            <w:tblGrid>
              <w:gridCol w:w="7920"/>
            </w:tblGrid>
            <w:tr>
              <w:tc>
                <w:tcPr/>
                <w:bookmarkStart w:id="75" w:name="fig-lencompfits-2"/>
                <w:p>
                  <w:pPr>
                    <w:pStyle w:val="Figure"/>
                    <w:jc w:val="center"/>
                    <w:jc w:val="center"/>
                  </w:pPr>
                  <w:r>
                    <w:drawing>
                      <wp:inline>
                        <wp:extent cx="2971800" cy="2122714"/>
                        <wp:effectExtent b="0" l="0" r="0" t="0"/>
                        <wp:docPr descr="" title="" id="73" name="Picture"/>
                        <a:graphic>
                          <a:graphicData uri="http://schemas.openxmlformats.org/drawingml/2006/picture">
                            <pic:pic>
                              <pic:nvPicPr>
                                <pic:cNvPr descr="APVI_65_Base_model_diags_report_files/figure-html/lencompfits-1.png" id="74" name="Picture"/>
                                <pic:cNvPicPr>
                                  <a:picLocks noChangeArrowheads="1" noChangeAspect="1"/>
                                </pic:cNvPicPr>
                              </pic:nvPicPr>
                              <pic:blipFill>
                                <a:blip r:embed="rId72"/>
                                <a:stretch>
                                  <a:fillRect/>
                                </a:stretch>
                              </pic:blipFill>
                              <pic:spPr bwMode="auto">
                                <a:xfrm>
                                  <a:off x="0" y="0"/>
                                  <a:ext cx="2971800" cy="2122714"/>
                                </a:xfrm>
                                <a:prstGeom prst="rect">
                                  <a:avLst/>
                                </a:prstGeom>
                                <a:noFill/>
                                <a:ln w="9525">
                                  <a:noFill/>
                                  <a:headEnd/>
                                  <a:tailEnd/>
                                </a:ln>
                              </pic:spPr>
                            </pic:pic>
                          </a:graphicData>
                        </a:graphic>
                      </wp:inline>
                    </w:drawing>
                  </w:r>
                </w:p>
                <w:p>
                  <w:pPr>
                    <w:jc w:val="center"/>
                    <w:jc w:val="center"/>
                  </w:pPr>
                  <w:pPr>
                    <w:jc w:val="start"/>
                    <w:spacing w:before="200"/>
                    <w:pStyle w:val="ImageCaption"/>
                  </w:pPr>
                  <w:r>
                    <w:t xml:space="preserve">Figure 14: Observed (gray area) vs. expected (green line) abundance-at-length from bottomfishing catch by year (left) and overall (right).</w:t>
                  </w:r>
                </w:p>
                <w:bookmarkEnd w:id="75"/>
              </w:tc>
            </w:tr>
          </w:tbl>
          <w:p/>
        </w:tc>
      </w:tr>
    </w:tbl>
    <w:tbl>
      <w:tblPr>
        <w:tblStyle w:val="Table"/>
        <w:tblW w:type="pct" w:w="5000"/>
        <w:tblLook w:firstRow="0" w:lastRow="0" w:firstColumn="0" w:lastColumn="0" w:noHBand="0" w:noVBand="0" w:val="0000"/>
      </w:tblPr>
      <w:tblGrid>
        <w:gridCol w:w="7920"/>
      </w:tblGrid>
      <w:tr>
        <w:tc>
          <w:tcPr/>
          <w:bookmarkStart w:id="79" w:name="fig-r0prof"/>
          <w:p>
            <w:pPr>
              <w:pStyle w:val="Figure"/>
              <w:jc w:val="center"/>
            </w:pPr>
            <w:r>
              <w:drawing>
                <wp:inline>
                  <wp:extent cx="4607999" cy="3291428"/>
                  <wp:effectExtent b="0" l="0" r="0" t="0"/>
                  <wp:docPr descr="" title="" id="77" name="Picture"/>
                  <a:graphic>
                    <a:graphicData uri="http://schemas.openxmlformats.org/drawingml/2006/picture">
                      <pic:pic>
                        <pic:nvPicPr>
                          <pic:cNvPr descr="APVI_65_Base_model_diags_report_files/figure-html/r0prof-1.png" id="78" name="Picture"/>
                          <pic:cNvPicPr>
                            <a:picLocks noChangeArrowheads="1" noChangeAspect="1"/>
                          </pic:cNvPicPr>
                        </pic:nvPicPr>
                        <pic:blipFill>
                          <a:blip r:embed="rId76"/>
                          <a:stretch>
                            <a:fillRect/>
                          </a:stretch>
                        </pic:blipFill>
                        <pic:spPr bwMode="auto">
                          <a:xfrm>
                            <a:off x="0" y="0"/>
                            <a:ext cx="4607999" cy="3291428"/>
                          </a:xfrm>
                          <a:prstGeom prst="rect">
                            <a:avLst/>
                          </a:prstGeom>
                          <a:noFill/>
                          <a:ln w="9525">
                            <a:noFill/>
                            <a:headEnd/>
                            <a:tailEnd/>
                          </a:ln>
                        </pic:spPr>
                      </pic:pic>
                    </a:graphicData>
                  </a:graphic>
                </wp:inline>
              </w:drawing>
            </w:r>
          </w:p>
          <w:p>
            <w:pPr>
              <w:jc w:val="center"/>
            </w:pPr>
            <w:pPr>
              <w:jc w:val="start"/>
              <w:spacing w:before="200"/>
              <w:pStyle w:val="ImageCaption"/>
            </w:pPr>
            <w:r>
              <w:t xml:space="preserve">Figure 15: Profiles of the negative log-likelihoods relative to the minimum value of each component for the different likelihood components affecting the unfished recruitment parameter (R</w:t>
            </w:r>
            <w:r>
              <w:rPr>
                <w:vertAlign w:val="subscript"/>
              </w:rPr>
              <w:t xml:space="preserve">0</w:t>
            </w:r>
            <w:r>
              <w:t xml:space="preserve">) in log-scale.</w:t>
            </w:r>
          </w:p>
          <w:bookmarkEnd w:id="79"/>
        </w:tc>
      </w:tr>
    </w:tbl>
    <w:tbl>
      <w:tblPr>
        <w:tblStyle w:val="Table"/>
        <w:tblW w:type="pct" w:w="5000"/>
        <w:tblLook w:firstRow="0" w:lastRow="0" w:firstColumn="0" w:lastColumn="0" w:noHBand="0" w:noVBand="0" w:val="0000"/>
      </w:tblPr>
      <w:tblGrid>
        <w:gridCol w:w="7920"/>
      </w:tblGrid>
      <w:tr>
        <w:tc>
          <w:tcPr/>
          <w:bookmarkStart w:id="83" w:name="fig-retro"/>
          <w:p>
            <w:pPr>
              <w:pStyle w:val="Figure"/>
              <w:jc w:val="center"/>
            </w:pPr>
            <w:r>
              <w:drawing>
                <wp:inline>
                  <wp:extent cx="4211999" cy="3008571"/>
                  <wp:effectExtent b="0" l="0" r="0" t="0"/>
                  <wp:docPr descr="" title="" id="81" name="Picture"/>
                  <a:graphic>
                    <a:graphicData uri="http://schemas.openxmlformats.org/drawingml/2006/picture">
                      <pic:pic>
                        <pic:nvPicPr>
                          <pic:cNvPr descr="APVI_65_Base_model_diags_report_files/figure-html/retrospectives-1.png" id="82" name="Picture"/>
                          <pic:cNvPicPr>
                            <a:picLocks noChangeArrowheads="1" noChangeAspect="1"/>
                          </pic:cNvPicPr>
                        </pic:nvPicPr>
                        <pic:blipFill>
                          <a:blip r:embed="rId80"/>
                          <a:stretch>
                            <a:fillRect/>
                          </a:stretch>
                        </pic:blipFill>
                        <pic:spPr bwMode="auto">
                          <a:xfrm>
                            <a:off x="0" y="0"/>
                            <a:ext cx="4211999" cy="300857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16: Retrospective analysis of spawning biomass (left) and fishing mortality (right) consisting of 5 reruns of the base case model each fitted with one less year of data from the base case model (blue line).</w:t>
            </w:r>
          </w:p>
          <w:bookmarkEnd w:id="83"/>
        </w:tc>
      </w:tr>
    </w:tbl>
    <w:tbl>
      <w:tblPr>
        <w:tblStyle w:val="Table"/>
        <w:tblW w:type="pct" w:w="5000"/>
        <w:tblLook w:firstRow="0" w:lastRow="0" w:firstColumn="0" w:lastColumn="0" w:noHBand="0" w:noVBand="0" w:val="0000"/>
      </w:tblPr>
      <w:tblGrid>
        <w:gridCol w:w="7920"/>
      </w:tblGrid>
      <w:tr>
        <w:tc>
          <w:tcPr/>
          <w:bookmarkStart w:id="87" w:name="fig-hindcast"/>
          <w:p>
            <w:pPr>
              <w:pStyle w:val="Figure"/>
              <w:jc w:val="center"/>
            </w:pPr>
            <w:r>
              <w:drawing>
                <wp:inline>
                  <wp:extent cx="4211999" cy="3008571"/>
                  <wp:effectExtent b="0" l="0" r="0" t="0"/>
                  <wp:docPr descr="" title="" id="85" name="Picture"/>
                  <a:graphic>
                    <a:graphicData uri="http://schemas.openxmlformats.org/drawingml/2006/picture">
                      <pic:pic>
                        <pic:nvPicPr>
                          <pic:cNvPr descr="APVI_65_Base_model_diags_report_files/figure-html/hindcast-1.png" id="86" name="Picture"/>
                          <pic:cNvPicPr>
                            <a:picLocks noChangeArrowheads="1" noChangeAspect="1"/>
                          </pic:cNvPicPr>
                        </pic:nvPicPr>
                        <pic:blipFill>
                          <a:blip r:embed="rId84"/>
                          <a:stretch>
                            <a:fillRect/>
                          </a:stretch>
                        </pic:blipFill>
                        <pic:spPr bwMode="auto">
                          <a:xfrm>
                            <a:off x="0" y="0"/>
                            <a:ext cx="4211999" cy="300857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17: Hindcast for index of abundance and length composition data.</w:t>
            </w:r>
          </w:p>
          <w:bookmarkEnd w:id="87"/>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Pr>
      <w:r>
        <w:t xml:space="preserve">Time series of spawning biomass (SSB, mt), age-0 recruitment (Rec., 1000s of recruits), and instantaneous fishing mortality (F, yr^-1^) estimated by the Stock Synthesis model. CV is the coefficient of variation.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635"/>
        <w:gridCol w:w="635"/>
        <w:gridCol w:w="635"/>
        <w:gridCol w:w="635"/>
        <w:gridCol w:w="635"/>
        <w:gridCol w:w="635"/>
        <w:gridCol w:w="635"/>
        <w:gridCol w:w="635"/>
        <w:gridCol w:w="635"/>
        <w:gridCol w:w="635"/>
        <w:gridCol w:w="635"/>
        <w:gridCol w:w="635"/>
        <w:gridCol w:w="635"/>
        <w:gridCol w:w="635"/>
      </w:tblGrid>
      <w:tr>
        <w:trPr>
          <w:trHeight w:val="360"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Year</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SSB</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CV(SSB)</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Rec.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CV(Rec)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F</w:t>
            </w:r>
          </w:p>
        </w:tc>
        <w:tc>
          <w:tcPr>
            <w:tcBorders>
              <w:bottom w:val="single" w:sz="8" w:space="0" w:color="000000"/>
              <w:top w:val="single" w:sz="8"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CV(F)</w:t>
            </w:r>
          </w:p>
        </w:tc>
        <w:tc>
          <w:tcPr>
            <w:tcBorders>
              <w:bottom w:val="single" w:sz="8" w:space="0" w:color="000000"/>
              <w:top w:val="single" w:sz="8"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Year.2</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SSB.2</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CV.2(SSB)</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Rec.2</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CV.2(Rec)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F.2</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CV.2(F)</w:t>
            </w:r>
          </w:p>
        </w:tc>
      </w:tr>
      <w:tr>
        <w:trPr>
          <w:trHeight w:val="360"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1969</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13.7</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0.09</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2.85</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0.09</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0.003</w:t>
            </w:r>
          </w:p>
        </w:tc>
        <w:tc>
          <w:tcPr>
            <w:tcBorders>
              <w:bottom w:val="none" w:sz="0" w:space="0" w:color="000000"/>
              <w:top w:val="single" w:sz="8"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0.48</w:t>
            </w:r>
          </w:p>
        </w:tc>
        <w:tc>
          <w:tcPr>
            <w:tcBorders>
              <w:bottom w:val="none" w:sz="0" w:space="0" w:color="000000"/>
              <w:top w:val="single" w:sz="8"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1996</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6.0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2.63</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0.166</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0.60</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0.001</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0.46</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0.45</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0.000</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0.39</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0.55</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0.028</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0.54</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0.53</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0.048</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0.46</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0.55</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0.027</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0.59</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0.41</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0.038</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0.50</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0.48</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0.033</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0.44</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0.36</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0.013</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0.54</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0.65</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0.005</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0.45</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0.50</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0.006</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0.51</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0.46</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0.033</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0.52</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0.65</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0.094</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0.59</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0.46</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0.093</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0.57</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0.23</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0.300</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0.87</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0.42</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0.199</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0.71</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0.54</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0.273</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0.74</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0.48</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0.281</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0.70</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0.58</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0.095</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0.87</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0.33</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0.106</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0.79</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0.30</w:t>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0.098</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0.55</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0.26</w:t>
            </w:r>
          </w:p>
        </w:tc>
      </w:tr>
      <w:tr>
        <w:trPr>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0.046</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0.49</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0.24</w:t>
            </w:r>
          </w:p>
        </w:tc>
      </w:tr>
      <w:tr>
        <w:trPr>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0.090</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0.47</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0.24</w:t>
            </w:r>
          </w:p>
        </w:tc>
      </w:tr>
      <w:tr>
        <w:trPr>
          <w:trHeight w:val="36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0.055</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0.61</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0.26</w:t>
            </w:r>
          </w:p>
        </w:tc>
      </w:tr>
      <w:tr>
        <w:trPr>
          <w:trHeight w:val="36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0.069</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0.58</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0.28</w:t>
            </w:r>
          </w:p>
        </w:tc>
      </w:tr>
      <w:tr>
        <w:trPr>
          <w:trHeight w:val="360"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0.110</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0.50</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0.30</w:t>
            </w:r>
          </w:p>
        </w:tc>
      </w:tr>
      <w:tr>
        <w:trPr>
          <w:trHeight w:val="360" w:hRule="auto"/>
        </w:trPr>
        body27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1995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6.1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2.63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0.094</w:t>
            </w:r>
          </w:p>
        </w:tc>
        <w:tc>
          <w:tcPr>
            <w:tcBorders>
              <w:bottom w:val="single" w:sz="8"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0.59</w:t>
            </w:r>
          </w:p>
        </w:tc>
        <w:tc>
          <w:tcPr>
            <w:tcBorders>
              <w:bottom w:val="single" w:sz="8"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r>
    </w:tbl>
    <w:tbl>
      <w:tblPr>
        <w:tblStyle w:val="Table"/>
        <w:tblW w:type="pct" w:w="5000"/>
        <w:tblLook w:firstRow="0" w:lastRow="0" w:firstColumn="0" w:lastColumn="0" w:noHBand="0" w:noVBand="0" w:val="0000"/>
      </w:tblPr>
      <w:tblGrid>
        <w:gridCol w:w="7920"/>
      </w:tblGrid>
      <w:tr>
        <w:tc>
          <w:tcPr/>
          <w:bookmarkStart w:id="91" w:name="fig-timeseries"/>
          <w:p>
            <w:pPr>
              <w:pStyle w:val="Figure"/>
              <w:jc w:val="center"/>
            </w:pPr>
            <w:r>
              <w:drawing>
                <wp:inline>
                  <wp:extent cx="5039999" cy="3599999"/>
                  <wp:effectExtent b="0" l="0" r="0" t="0"/>
                  <wp:docPr descr="" title="" id="89" name="Picture"/>
                  <a:graphic>
                    <a:graphicData uri="http://schemas.openxmlformats.org/drawingml/2006/picture">
                      <pic:pic>
                        <pic:nvPicPr>
                          <pic:cNvPr descr="bootstrap/03_Quants.png" id="90" name="Picture"/>
                          <pic:cNvPicPr>
                            <a:picLocks noChangeArrowheads="1" noChangeAspect="1"/>
                          </pic:cNvPicPr>
                        </pic:nvPicPr>
                        <pic:blipFill>
                          <a:blip r:embed="rId88"/>
                          <a:stretch>
                            <a:fillRect/>
                          </a:stretch>
                        </pic:blipFill>
                        <pic:spPr bwMode="auto">
                          <a:xfrm>
                            <a:off x="0" y="0"/>
                            <a:ext cx="5039999" cy="3599999"/>
                          </a:xfrm>
                          <a:prstGeom prst="rect">
                            <a:avLst/>
                          </a:prstGeom>
                          <a:noFill/>
                          <a:ln w="9525">
                            <a:noFill/>
                            <a:headEnd/>
                            <a:tailEnd/>
                          </a:ln>
                        </pic:spPr>
                      </pic:pic>
                    </a:graphicData>
                  </a:graphic>
                </wp:inline>
              </w:drawing>
            </w:r>
          </w:p>
          <w:p>
            <w:pPr>
              <w:jc w:val="center"/>
            </w:pPr>
            <w:pPr>
              <w:jc w:val="start"/>
              <w:spacing w:before="200"/>
              <w:pStyle w:val="ImageCaption"/>
            </w:pPr>
            <w:r>
              <w:t xml:space="preserve">Figure 18: Time series of spawning biomass (solid line) with its 95% confidence interval and SSB</w:t>
            </w:r>
            <w:r>
              <w:rPr>
                <w:vertAlign w:val="subscript"/>
              </w:rPr>
              <w:t xml:space="preserve">0</w:t>
            </w:r>
            <w:r>
              <w:t xml:space="preserve"> </w:t>
            </w:r>
            <w:r>
              <w:t xml:space="preserve">estimate (red dot; top panel). The dot-and-dash blue line shows the spawning biomass at the MSST reference point (SSB</w:t>
            </w:r>
            <w:r>
              <w:rPr>
                <w:vertAlign w:val="subscript"/>
              </w:rPr>
              <w:t xml:space="preserve">MSST</w:t>
            </w:r>
            <w:r>
              <w:t xml:space="preserve">). Time series of fishing mortality rate with its 95% confidence intervals (bottom panel).</w:t>
            </w:r>
          </w:p>
          <w:bookmarkEnd w:id="91"/>
        </w:tc>
      </w:tr>
    </w:tbl>
    <w:tbl>
      <w:tblPr>
        <w:tblStyle w:val="Table"/>
        <w:tblW w:type="pct" w:w="5000"/>
        <w:tblLook w:firstRow="0" w:lastRow="0" w:firstColumn="0" w:lastColumn="0" w:noHBand="0" w:noVBand="0" w:val="0000"/>
      </w:tblPr>
      <w:tblGrid>
        <w:gridCol w:w="7920"/>
      </w:tblGrid>
      <w:tr>
        <w:tc>
          <w:tcPr/>
          <w:bookmarkStart w:id="95" w:name="fig-sr"/>
          <w:p>
            <w:pPr>
              <w:pStyle w:val="Figure"/>
              <w:jc w:val="center"/>
            </w:pPr>
            <w:r>
              <w:drawing>
                <wp:inline>
                  <wp:extent cx="5039999" cy="2518475"/>
                  <wp:effectExtent b="0" l="0" r="0" t="0"/>
                  <wp:docPr descr="" title="" id="93" name="Picture"/>
                  <a:graphic>
                    <a:graphicData uri="http://schemas.openxmlformats.org/drawingml/2006/picture">
                      <pic:pic>
                        <pic:nvPicPr>
                          <pic:cNvPr descr="bootstrap/04_SR.png" id="94" name="Picture"/>
                          <pic:cNvPicPr>
                            <a:picLocks noChangeArrowheads="1" noChangeAspect="1"/>
                          </pic:cNvPicPr>
                        </pic:nvPicPr>
                        <pic:blipFill>
                          <a:blip r:embed="rId92"/>
                          <a:stretch>
                            <a:fillRect/>
                          </a:stretch>
                        </pic:blipFill>
                        <pic:spPr bwMode="auto">
                          <a:xfrm>
                            <a:off x="0" y="0"/>
                            <a:ext cx="5039999" cy="2518475"/>
                          </a:xfrm>
                          <a:prstGeom prst="rect">
                            <a:avLst/>
                          </a:prstGeom>
                          <a:noFill/>
                          <a:ln w="9525">
                            <a:noFill/>
                            <a:headEnd/>
                            <a:tailEnd/>
                          </a:ln>
                        </pic:spPr>
                      </pic:pic>
                    </a:graphicData>
                  </a:graphic>
                </wp:inline>
              </w:drawing>
            </w:r>
          </w:p>
          <w:p>
            <w:pPr>
              <w:jc w:val="center"/>
            </w:pPr>
            <w:pPr>
              <w:jc w:val="start"/>
              <w:spacing w:before="200"/>
              <w:pStyle w:val="ImageCaption"/>
            </w:pPr>
            <w:r>
              <w:t xml:space="preserve">Figure 19: Expected recruitment from the stock-recruitment relationship (black line) and estimated annual recruitment (dots) from Stock Synthesis. Estimated virgin SSB and recruitment is indicated with a red diamond.</w:t>
            </w:r>
          </w:p>
          <w:bookmarkEnd w:id="95"/>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Pr>
      <w:r>
        <w:t xml:space="preserve">Estimated biological reference points with 95% confidence interval (SD) derived from the Stock Synthesis base-case model where F is the instantaneous annual fishing mortality rate, SPR is spawning potential ratio, SSB is spawning stock biomass, MSST indicates minimum stock size threshold, and MSY indicates maximum sustainable yield.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306"/>
        <w:gridCol w:w="2465"/>
      </w:tblGrid>
      <w:tr>
        <w:trPr>
          <w:trHeight w:val="348"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Reference point</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Value</w:t>
            </w:r>
          </w:p>
        </w:tc>
      </w:tr>
      <w:tr>
        <w:trPr>
          <w:trHeight w:val="350"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bscript"/>
                <w:sz w:val="22"/>
                <w:szCs w:val="22"/>
                <w:color w:val="000000"/>
              </w:rPr>
              <w:t xml:space="preserve">MSY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(yr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0.196 (0.187 - 0.203)</w:t>
            </w:r>
          </w:p>
        </w:tc>
      </w:tr>
      <w:tr>
        <w:trPr>
          <w:trHeight w:val="35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bscript"/>
                <w:sz w:val="22"/>
                <w:szCs w:val="22"/>
                <w:color w:val="000000"/>
              </w:rPr>
              <w:t xml:space="preserve">2021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(yr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0.009 (0.006 - 0.015)</w:t>
            </w:r>
          </w:p>
        </w:tc>
      </w:tr>
      <w:tr>
        <w:trPr>
          <w:trHeight w:val="35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bscript"/>
                <w:sz w:val="22"/>
                <w:szCs w:val="22"/>
                <w:color w:val="000000"/>
              </w:rPr>
              <w:t xml:space="preserve">2021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bscript"/>
                <w:sz w:val="22"/>
                <w:szCs w:val="22"/>
                <w:color w:val="000000"/>
              </w:rPr>
              <w:t xml:space="preserve">MSY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0.048 (0.03 - 0.073)</w:t>
            </w:r>
          </w:p>
        </w:tc>
      </w:tr>
      <w:tr>
        <w:trPr>
          <w:trHeight w:val="35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SSB</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bscript"/>
                <w:sz w:val="22"/>
                <w:szCs w:val="22"/>
                <w:color w:val="000000"/>
              </w:rPr>
              <w:t xml:space="preserve">MSST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2.91 (2.35 - 3.7)</w:t>
            </w:r>
          </w:p>
        </w:tc>
      </w:tr>
      <w:tr>
        <w:trPr>
          <w:trHeight w:val="35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SSB</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bscript"/>
                <w:sz w:val="22"/>
                <w:szCs w:val="22"/>
                <w:color w:val="000000"/>
              </w:rPr>
              <w:t xml:space="preserve">2021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(mt)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4.96 (3.8 - 6.66)</w:t>
            </w:r>
          </w:p>
        </w:tc>
      </w:tr>
      <w:tr>
        <w:trPr>
          <w:trHeight w:val="35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SSB</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bscript"/>
                <w:sz w:val="22"/>
                <w:szCs w:val="22"/>
                <w:color w:val="000000"/>
              </w:rPr>
              <w:t xml:space="preserve">2021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SSB</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bscript"/>
                <w:sz w:val="22"/>
                <w:szCs w:val="22"/>
                <w:color w:val="000000"/>
              </w:rPr>
              <w:t xml:space="preserve">MSST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1.72 (1.43 - 2.03)</w:t>
            </w:r>
          </w:p>
        </w:tc>
      </w:tr>
      <w:tr>
        <w:trPr>
          <w:trHeight w:val="35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MSY (mt)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1.56 (1.46 - 1.67)</w:t>
            </w:r>
          </w:p>
        </w:tc>
      </w:tr>
      <w:tr>
        <w:trPr>
          <w:trHeight w:val="35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Catch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bscript"/>
                <w:sz w:val="22"/>
                <w:szCs w:val="22"/>
                <w:color w:val="000000"/>
              </w:rPr>
              <w:t xml:space="preserve">2019-2021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(mt)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 (0.49 - 1.31)</w:t>
            </w:r>
          </w:p>
        </w:tc>
      </w:tr>
      <w:tr>
        <w:trPr>
          <w:trHeight w:val="35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SPR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bscript"/>
                <w:sz w:val="22"/>
                <w:szCs w:val="22"/>
                <w:color w:val="000000"/>
              </w:rPr>
              <w:t xml:space="preserve">MSY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 (0.29 - 0.3)</w:t>
            </w:r>
          </w:p>
        </w:tc>
      </w:tr>
      <w:tr>
        <w:trPr>
          <w:trHeight w:val="350" w:hRule="auto"/>
        </w:trPr>
        body10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SPR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bscript"/>
                <w:sz w:val="22"/>
                <w:szCs w:val="22"/>
                <w:color w:val="000000"/>
              </w:rPr>
              <w:t xml:space="preserve">2021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0.91 (0.88 - 0.93)</w:t>
            </w:r>
          </w:p>
        </w:tc>
      </w:tr>
    </w:tbl>
    <w:tbl>
      <w:tblPr>
        <w:tblStyle w:val="Table"/>
        <w:tblW w:type="pct" w:w="5000"/>
        <w:tblLook w:firstRow="0" w:lastRow="0" w:firstColumn="0" w:lastColumn="0" w:noHBand="0" w:noVBand="0" w:val="0000"/>
      </w:tblPr>
      <w:tblGrid>
        <w:gridCol w:w="7920"/>
      </w:tblGrid>
      <w:tr>
        <w:tc>
          <w:tcPr/>
          <w:bookmarkStart w:id="99" w:name="fig-kobe"/>
          <w:p>
            <w:pPr>
              <w:pStyle w:val="Figure"/>
              <w:jc w:val="center"/>
            </w:pPr>
            <w:r>
              <w:drawing>
                <wp:inline>
                  <wp:extent cx="5039999" cy="3600871"/>
                  <wp:effectExtent b="0" l="0" r="0" t="0"/>
                  <wp:docPr descr="" title="" id="97" name="Picture"/>
                  <a:graphic>
                    <a:graphicData uri="http://schemas.openxmlformats.org/drawingml/2006/picture">
                      <pic:pic>
                        <pic:nvPicPr>
                          <pic:cNvPr descr="bootstrap/05_Kobe.png" id="98" name="Picture"/>
                          <pic:cNvPicPr>
                            <a:picLocks noChangeArrowheads="1" noChangeAspect="1"/>
                          </pic:cNvPicPr>
                        </pic:nvPicPr>
                        <pic:blipFill>
                          <a:blip r:embed="rId96"/>
                          <a:stretch>
                            <a:fillRect/>
                          </a:stretch>
                        </pic:blipFill>
                        <pic:spPr bwMode="auto">
                          <a:xfrm>
                            <a:off x="0" y="0"/>
                            <a:ext cx="5039999" cy="360087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20: Kobe plot representing the trend in relative fishing mortality and spawning stock biomass between 1969 and 2021 with their associated biological reference areas (red: overfished and overfishing, yellow: overfishing or overfished, green: no overfishing and not overfished). The large red dot indicates median stock status in 2021 and the black dots are one thousand Monte Carlo draws from the stock status distribution to represent the uncertainty around the final year status.</w:t>
            </w:r>
          </w:p>
          <w:bookmarkEnd w:id="99"/>
        </w:tc>
      </w:tr>
    </w:tbl>
    <w:p>
      <w:r>
        <w:br w:type="page"/>
      </w:r>
    </w:p>
    <w:p>
      <w:pPr>
        <w:pStyle w:val="SourceCode"/>
      </w:pPr>
      <w:r>
        <w:rPr>
          <w:rStyle w:val="VerbatimChar"/>
        </w:rPr>
        <w:t xml:space="preserve">Warning in file(file, "rt"): cannot open file '../../../SS3 final</w:t>
      </w:r>
      <w:r>
        <w:br/>
      </w:r>
      <w:r>
        <w:rPr>
          <w:rStyle w:val="VerbatimChar"/>
        </w:rPr>
        <w:t xml:space="preserve">models/APVI/00_Alternate_Mods_Figs_Tables/Results.csv': No such file or</w:t>
      </w:r>
      <w:r>
        <w:br/>
      </w:r>
      <w:r>
        <w:rPr>
          <w:rStyle w:val="VerbatimChar"/>
        </w:rPr>
        <w:t xml:space="preserve">directory</w:t>
      </w:r>
    </w:p>
    <w:p>
      <w:pPr>
        <w:pStyle w:val="SourceCode"/>
      </w:pPr>
      <w:r>
        <w:rPr>
          <w:rStyle w:val="VerbatimChar"/>
        </w:rPr>
        <w:t xml:space="preserve">Error in file(file, "rt"): cannot open the connection</w:t>
      </w:r>
    </w:p>
    <w:p>
      <w:pPr>
        <w:pStyle w:val="SourceCode"/>
      </w:pPr>
      <w:r>
        <w:rPr>
          <w:rStyle w:val="VerbatimChar"/>
        </w:rPr>
        <w:t xml:space="preserve">Error in eval(expr, envir, enclos): object 'Results' not found</w:t>
      </w:r>
    </w:p>
    <w:p>
      <w:pPr>
        <w:pStyle w:val="SourceCode"/>
      </w:pPr>
      <w:r>
        <w:rPr>
          <w:rStyle w:val="VerbatimChar"/>
        </w:rPr>
        <w:t xml:space="preserve">Error in is.data.frame(data): object 'Results' not found</w:t>
      </w:r>
    </w:p>
    <w:p>
      <w:pPr>
        <w:pStyle w:val="SourceCode"/>
      </w:pPr>
      <w:r>
        <w:rPr>
          <w:rStyle w:val="VerbatimChar"/>
        </w:rPr>
        <w:t xml:space="preserve">Error in hline_bottom(Results.ft, border = border): object 'Results.ft' not found</w:t>
      </w:r>
    </w:p>
    <w:p>
      <w:pPr>
        <w:pStyle w:val="SourceCode"/>
      </w:pPr>
      <w:r>
        <w:rPr>
          <w:rStyle w:val="VerbatimChar"/>
        </w:rPr>
        <w:t xml:space="preserve">Error in hline_top(Results.ft, border = border, part = "header"): object 'Results.ft' not found</w:t>
      </w:r>
    </w:p>
    <w:p>
      <w:pPr>
        <w:pStyle w:val="SourceCode"/>
      </w:pPr>
      <w:r>
        <w:rPr>
          <w:rStyle w:val="VerbatimChar"/>
        </w:rPr>
        <w:t xml:space="preserve">Error in hline_bottom(Results.ft, border = border, part = "header"): object 'Results.ft' not found</w:t>
      </w:r>
    </w:p>
    <w:p>
      <w:pPr>
        <w:pStyle w:val="SourceCode"/>
      </w:pPr>
      <w:r>
        <w:rPr>
          <w:rStyle w:val="VerbatimChar"/>
        </w:rPr>
        <w:t xml:space="preserve">Error in compose(Results.ft, j = 2, part = "header", value = as_paragraph(as_i("F"), : object 'Results.ft' not found</w:t>
      </w:r>
    </w:p>
    <w:p>
      <w:pPr>
        <w:pStyle w:val="SourceCode"/>
      </w:pPr>
      <w:r>
        <w:rPr>
          <w:rStyle w:val="VerbatimChar"/>
        </w:rPr>
        <w:t xml:space="preserve">Error in compose(Results.ft, j = 3, part = "header", value = as_paragraph(as_i("F"), : object 'Results.ft' not found</w:t>
      </w:r>
    </w:p>
    <w:p>
      <w:pPr>
        <w:pStyle w:val="SourceCode"/>
      </w:pPr>
      <w:r>
        <w:rPr>
          <w:rStyle w:val="VerbatimChar"/>
        </w:rPr>
        <w:t xml:space="preserve">Error in compose(Results.ft, j = 4, part = "header", value = as_paragraph(as_i("F"), : object 'Results.ft' not found</w:t>
      </w:r>
    </w:p>
    <w:p>
      <w:pPr>
        <w:pStyle w:val="SourceCode"/>
      </w:pPr>
      <w:r>
        <w:rPr>
          <w:rStyle w:val="VerbatimChar"/>
        </w:rPr>
        <w:t xml:space="preserve">Error in compose(Results.ft, j = 5, part = "header", value = as_paragraph(as_i("SSB"), : object 'Results.ft' not found</w:t>
      </w:r>
    </w:p>
    <w:p>
      <w:pPr>
        <w:pStyle w:val="SourceCode"/>
      </w:pPr>
      <w:r>
        <w:rPr>
          <w:rStyle w:val="VerbatimChar"/>
        </w:rPr>
        <w:t xml:space="preserve">Error in compose(Results.ft, j = 6, part = "header", value = as_paragraph(as_i("SSB"), : object 'Results.ft' not found</w:t>
      </w:r>
    </w:p>
    <w:p>
      <w:pPr>
        <w:pStyle w:val="SourceCode"/>
      </w:pPr>
      <w:r>
        <w:rPr>
          <w:rStyle w:val="VerbatimChar"/>
        </w:rPr>
        <w:t xml:space="preserve">Error in compose(Results.ft, j = 7, part = "header", value = as_paragraph(as_i("SSB"), : object 'Results.ft' not found</w:t>
      </w:r>
    </w:p>
    <w:p>
      <w:pPr>
        <w:pStyle w:val="SourceCode"/>
      </w:pPr>
      <w:r>
        <w:rPr>
          <w:rStyle w:val="VerbatimChar"/>
        </w:rPr>
        <w:t xml:space="preserve">Error in compose(Results.ft, j = 8, part = "header", value = as_paragraph(as_i("SSB"), : object 'Results.ft' not found</w:t>
      </w:r>
    </w:p>
    <w:p>
      <w:pPr>
        <w:pStyle w:val="SourceCode"/>
      </w:pPr>
      <w:r>
        <w:rPr>
          <w:rStyle w:val="VerbatimChar"/>
        </w:rPr>
        <w:t xml:space="preserve">Error in compose(Results.ft, j = 9, part = "header", value = as_paragraph(as_i("SSB"), : object 'Results.ft' not found</w:t>
      </w:r>
    </w:p>
    <w:p>
      <w:pPr>
        <w:pStyle w:val="SourceCode"/>
      </w:pPr>
      <w:r>
        <w:rPr>
          <w:rStyle w:val="VerbatimChar"/>
        </w:rPr>
        <w:t xml:space="preserve">Error in compose(Results.ft, j = 10, part = "header", value = as_paragraph("Catch", : object 'Results.ft' not found</w:t>
      </w:r>
    </w:p>
    <w:p>
      <w:pPr>
        <w:pStyle w:val="SourceCode"/>
      </w:pPr>
      <w:r>
        <w:rPr>
          <w:rStyle w:val="VerbatimChar"/>
        </w:rPr>
        <w:t xml:space="preserve">Error in align(Results.ft, align = "center", part = "body"): object 'Results.ft' not found</w:t>
      </w:r>
    </w:p>
    <w:p>
      <w:pPr>
        <w:pStyle w:val="SourceCode"/>
      </w:pPr>
      <w:r>
        <w:rPr>
          <w:rStyle w:val="VerbatimChar"/>
        </w:rPr>
        <w:t xml:space="preserve">Error in compose(Results.ft, j = "Model", i = 1, part = "body", value = as_paragraph("Base case")): object 'Results.ft' not found</w:t>
      </w:r>
    </w:p>
    <w:p>
      <w:pPr>
        <w:pStyle w:val="SourceCode"/>
      </w:pPr>
      <w:r>
        <w:rPr>
          <w:rStyle w:val="VerbatimChar"/>
        </w:rPr>
        <w:t xml:space="preserve">Error in compose(Results.ft, j = "Model", i = 2, part = "body", value = as_paragraph(as_i("M"), : object 'Results.ft' not found</w:t>
      </w:r>
    </w:p>
    <w:p>
      <w:pPr>
        <w:pStyle w:val="SourceCode"/>
      </w:pPr>
      <w:r>
        <w:rPr>
          <w:rStyle w:val="VerbatimChar"/>
        </w:rPr>
        <w:t xml:space="preserve">Error in compose(Results.ft, j = "Model", i = 3, part = "body", value = as_paragraph(as_i("M"), : object 'Results.ft' not found</w:t>
      </w:r>
    </w:p>
    <w:p>
      <w:pPr>
        <w:pStyle w:val="SourceCode"/>
      </w:pPr>
      <w:r>
        <w:rPr>
          <w:rStyle w:val="VerbatimChar"/>
        </w:rPr>
        <w:t xml:space="preserve">Error in compose(Results.ft, j = "Model", i = 4, part = "body", value = as_paragraph("Steepness = XX")): object 'Results.ft' not found</w:t>
      </w:r>
    </w:p>
    <w:p>
      <w:pPr>
        <w:pStyle w:val="SourceCode"/>
      </w:pPr>
      <w:r>
        <w:rPr>
          <w:rStyle w:val="VerbatimChar"/>
        </w:rPr>
        <w:t xml:space="preserve">Error in compose(Results.ft, j = "Model", i = 5, part = "body", value = as_paragraph("Steepness = XX")): object 'Results.ft' not found</w:t>
      </w:r>
    </w:p>
    <w:p>
      <w:pPr>
        <w:pStyle w:val="SourceCode"/>
      </w:pPr>
      <w:r>
        <w:rPr>
          <w:rStyle w:val="VerbatimChar"/>
        </w:rPr>
        <w:t xml:space="preserve">Error in compose(Results.ft, j = "Model", i = 6, part = "body", value = as_paragraph("Alternate life history")): object 'Results.ft' not found</w:t>
      </w:r>
    </w:p>
    <w:p>
      <w:pPr>
        <w:pStyle w:val="SourceCode"/>
      </w:pPr>
      <w:r>
        <w:rPr>
          <w:rStyle w:val="VerbatimChar"/>
        </w:rPr>
        <w:t xml:space="preserve">Error in compose(Results.ft, j = "Model", i = 7, part = "body", value = as_paragraph("Recruitment deviations")): object 'Results.ft' not found</w:t>
      </w:r>
    </w:p>
    <w:p>
      <w:pPr>
        <w:pStyle w:val="SourceCode"/>
      </w:pPr>
      <w:r>
        <w:rPr>
          <w:rStyle w:val="VerbatimChar"/>
        </w:rPr>
        <w:t xml:space="preserve">Error in compose(Results.ft, j = "Model", i = 8, part = "body", value = as_paragraph("No historical catch")): object 'Results.ft' not found</w:t>
      </w:r>
    </w:p>
    <w:p>
      <w:pPr>
        <w:pStyle w:val="SourceCode"/>
      </w:pPr>
      <w:r>
        <w:rPr>
          <w:rStyle w:val="VerbatimChar"/>
        </w:rPr>
        <w:t xml:space="preserve">Error in nrow(Results): object 'Results' not found</w:t>
      </w:r>
    </w:p>
    <w:p>
      <w:pPr>
        <w:pStyle w:val="SourceCode"/>
      </w:pPr>
      <w:r>
        <w:rPr>
          <w:rStyle w:val="VerbatimChar"/>
        </w:rPr>
        <w:t xml:space="preserve">Error in set_table_properties(., layout = "autofit"): object 'Results.ft' not found</w:t>
      </w:r>
    </w:p>
    <w:p>
      <w:pPr>
        <w:pStyle w:val="SourceCode"/>
      </w:pPr>
      <w:r>
        <w:rPr>
          <w:rStyle w:val="VerbatimChar"/>
        </w:rPr>
        <w:t xml:space="preserve">Error in eval(expr, envir, enclos): object 'Results.ft' not found</w:t>
      </w:r>
    </w:p>
    <w:p>
      <w:pPr>
        <w:pStyle w:val="FirstParagraph"/>
      </w:pPr>
    </w:p>
    <w:p>
      <w:pPr>
        <w:pStyle w:val="SourceCode"/>
      </w:pPr>
      <w:r>
        <w:rPr>
          <w:rStyle w:val="VerbatimChar"/>
        </w:rPr>
        <w:t xml:space="preserve">Error in include_graphics(path): Cannot find the file(s): "../../../SS3 final models/APVI/00_Alternate_Mods_Figs_Tables/Sensitivity1.png"</w:t>
      </w:r>
    </w:p>
    <w:p>
      <w:pPr>
        <w:pStyle w:val="SourceCode"/>
      </w:pPr>
      <w:r>
        <w:rPr>
          <w:rStyle w:val="VerbatimChar"/>
        </w:rPr>
        <w:t xml:space="preserve">Error in include_graphics(path): Cannot find the file(s): "../../../SS3 final models/APVI/00_Alternate_Mods_Figs_Tables/Sensitivity2.png"</w:t>
      </w:r>
    </w:p>
    <w:p>
      <w:r>
        <w:br w:type="page"/>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Pr>
      <w:r>
        <w:t xml:space="preserve">The annual fixed catch values (metric tons) applied from 2024 to a final projection year resulting in a given probability of overfishing (F/FMSY&gt;1) in that final year. Catches for years prior to the start of the new catch guidance (2022 and 2023) were fixed at the mean of the last 3 years of catch data (2019 to 2021).</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701"/>
        <w:gridCol w:w="811"/>
        <w:gridCol w:w="811"/>
        <w:gridCol w:w="811"/>
        <w:gridCol w:w="811"/>
        <w:gridCol w:w="811"/>
      </w:tblGrid>
      <w:tr>
        <w:trPr>
          <w:trHeight w:val="313" w:hRule="auto"/>
          <w:tblHeader/>
        </w:trPr>
        header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gridSpan w:val="5"/>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Fixed catch (mt) from 2024 to:</w:t>
            </w:r>
          </w:p>
        </w:tc>
      </w:tr>
      <w:tr>
        <w:trPr>
          <w:trHeight w:val="313" w:hRule="auto"/>
          <w:tblHeader/>
        </w:trPr>
        header 2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Probability of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18"/>
                <w:szCs w:val="18"/>
                <w:color w:val="000000"/>
              </w:rPr>
              <w:t xml:space="preserve">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&gt;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18"/>
                <w:szCs w:val="18"/>
                <w:color w:val="000000"/>
              </w:rPr>
              <w:t xml:space="preserve">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bscript"/>
                <w:sz w:val="18"/>
                <w:szCs w:val="18"/>
                <w:color w:val="000000"/>
              </w:rPr>
              <w:t xml:space="preserve">MSY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2024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2025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2026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2027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2028</w:t>
            </w:r>
          </w:p>
        </w:tc>
      </w:tr>
      <w:tr>
        <w:trPr>
          <w:trHeight w:val="276"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0.50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2.63</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2.45</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2.32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2.22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2.15</w:t>
            </w:r>
          </w:p>
        </w:tc>
      </w:tr>
      <w:tr>
        <w:trPr>
          <w:trHeight w:val="276"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2.15</w:t>
            </w:r>
          </w:p>
        </w:tc>
      </w:tr>
      <w:tr>
        <w:trPr>
          <w:trHeight w:val="276"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2.14</w:t>
            </w:r>
          </w:p>
        </w:tc>
      </w:tr>
      <w:tr>
        <w:trPr>
          <w:trHeight w:val="276"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2.14</w:t>
            </w:r>
          </w:p>
        </w:tc>
      </w:tr>
      <w:tr>
        <w:trPr>
          <w:trHeight w:val="276"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2.13</w:t>
            </w:r>
          </w:p>
        </w:tc>
      </w:tr>
      <w:tr>
        <w:trPr>
          <w:trHeight w:val="276"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2.12</w:t>
            </w:r>
          </w:p>
        </w:tc>
      </w:tr>
      <w:tr>
        <w:trPr>
          <w:trHeight w:val="276"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2.12</w:t>
            </w:r>
          </w:p>
        </w:tc>
      </w:tr>
      <w:tr>
        <w:trPr>
          <w:trHeight w:val="276"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2.11</w:t>
            </w:r>
          </w:p>
        </w:tc>
      </w:tr>
      <w:tr>
        <w:trPr>
          <w:trHeight w:val="276"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2.10</w:t>
            </w:r>
          </w:p>
        </w:tc>
      </w:tr>
      <w:tr>
        <w:trPr>
          <w:trHeight w:val="276"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2.10</w:t>
            </w:r>
          </w:p>
        </w:tc>
      </w:tr>
      <w:tr>
        <w:trPr>
          <w:trHeight w:val="276"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2.09</w:t>
            </w:r>
          </w:p>
        </w:tc>
      </w:tr>
      <w:tr>
        <w:trPr>
          <w:trHeight w:val="276"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2.08</w:t>
            </w:r>
          </w:p>
        </w:tc>
      </w:tr>
      <w:tr>
        <w:trPr>
          <w:trHeight w:val="276"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2.08</w:t>
            </w:r>
          </w:p>
        </w:tc>
      </w:tr>
      <w:tr>
        <w:trPr>
          <w:trHeight w:val="276"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2.07</w:t>
            </w:r>
          </w:p>
        </w:tc>
      </w:tr>
      <w:tr>
        <w:trPr>
          <w:trHeight w:val="276"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2.06</w:t>
            </w:r>
          </w:p>
        </w:tc>
      </w:tr>
      <w:tr>
        <w:trPr>
          <w:trHeight w:val="276"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2.06</w:t>
            </w:r>
          </w:p>
        </w:tc>
      </w:tr>
      <w:tr>
        <w:trPr>
          <w:trHeight w:val="276"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2.05</w:t>
            </w:r>
          </w:p>
        </w:tc>
      </w:tr>
      <w:tr>
        <w:trPr>
          <w:trHeight w:val="276"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2.04</w:t>
            </w:r>
          </w:p>
        </w:tc>
      </w:tr>
      <w:tr>
        <w:trPr>
          <w:trHeight w:val="276"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2.04</w:t>
            </w:r>
          </w:p>
        </w:tc>
      </w:tr>
      <w:tr>
        <w:trPr>
          <w:trHeight w:val="276"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2.03</w:t>
            </w:r>
          </w:p>
        </w:tc>
      </w:tr>
      <w:tr>
        <w:trPr>
          <w:trHeight w:val="276"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2.02</w:t>
            </w:r>
          </w:p>
        </w:tc>
      </w:tr>
      <w:tr>
        <w:trPr>
          <w:trHeight w:val="276"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2.02</w:t>
            </w:r>
          </w:p>
        </w:tc>
      </w:tr>
      <w:tr>
        <w:trPr>
          <w:trHeight w:val="276"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2.01</w:t>
            </w:r>
          </w:p>
        </w:tc>
      </w:tr>
      <w:tr>
        <w:trPr>
          <w:trHeight w:val="276"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2.00</w:t>
            </w:r>
          </w:p>
        </w:tc>
      </w:tr>
      <w:tr>
        <w:trPr>
          <w:trHeight w:val="276"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2.00</w:t>
            </w:r>
          </w:p>
        </w:tc>
      </w:tr>
      <w:tr>
        <w:trPr>
          <w:trHeight w:val="276"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1.99</w:t>
            </w:r>
          </w:p>
        </w:tc>
      </w:tr>
      <w:tr>
        <w:trPr>
          <w:trHeight w:val="276"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1.98</w:t>
            </w:r>
          </w:p>
        </w:tc>
      </w:tr>
      <w:tr>
        <w:trPr>
          <w:trHeight w:val="276"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1.98</w:t>
            </w:r>
          </w:p>
        </w:tc>
      </w:tr>
      <w:tr>
        <w:trPr>
          <w:trHeight w:val="276"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1.97</w:t>
            </w:r>
          </w:p>
        </w:tc>
      </w:tr>
      <w:tr>
        <w:trPr>
          <w:trHeight w:val="276"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1.96</w:t>
            </w:r>
          </w:p>
        </w:tc>
      </w:tr>
      <w:tr>
        <w:trPr>
          <w:trHeight w:val="276"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1.96</w:t>
            </w:r>
          </w:p>
        </w:tc>
      </w:tr>
      <w:tr>
        <w:trPr>
          <w:trHeight w:val="276"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1.95</w:t>
            </w:r>
          </w:p>
        </w:tc>
      </w:tr>
      <w:tr>
        <w:trPr>
          <w:trHeight w:val="276"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1.94</w:t>
            </w:r>
          </w:p>
        </w:tc>
      </w:tr>
      <w:tr>
        <w:trPr>
          <w:trHeight w:val="276"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1.93</w:t>
            </w:r>
          </w:p>
        </w:tc>
      </w:tr>
      <w:tr>
        <w:trPr>
          <w:trHeight w:val="276"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1.93</w:t>
            </w:r>
          </w:p>
        </w:tc>
      </w:tr>
      <w:tr>
        <w:trPr>
          <w:trHeight w:val="276"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1.92</w:t>
            </w:r>
          </w:p>
        </w:tc>
      </w:tr>
      <w:tr>
        <w:trPr>
          <w:trHeight w:val="276" w:hRule="auto"/>
        </w:trPr>
        body37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1.91</w:t>
            </w:r>
          </w:p>
        </w:tc>
      </w:tr>
      <w:tr>
        <w:trPr>
          <w:trHeight w:val="276" w:hRule="auto"/>
        </w:trPr>
        body38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1.90</w:t>
            </w:r>
          </w:p>
        </w:tc>
      </w:tr>
      <w:tr>
        <w:trPr>
          <w:trHeight w:val="276" w:hRule="auto"/>
        </w:trPr>
        body39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1.90</w:t>
            </w:r>
          </w:p>
        </w:tc>
      </w:tr>
      <w:tr>
        <w:trPr>
          <w:trHeight w:val="276" w:hRule="auto"/>
        </w:trPr>
        body40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1.89</w:t>
            </w:r>
          </w:p>
        </w:tc>
      </w:tr>
      <w:tr>
        <w:trPr>
          <w:trHeight w:val="276" w:hRule="auto"/>
        </w:trPr>
        body41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2.20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2.08</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1.99</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1.94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1.88</w:t>
            </w:r>
          </w:p>
        </w:tc>
      </w:tr>
    </w:tbl>
    <w:p>
      <w:r>
        <w:br w:type="page"/>
      </w:r>
    </w:p>
    <w:tbl>
      <w:tblPr>
        <w:tblStyle w:val="Table"/>
        <w:tblW w:type="pct" w:w="5000"/>
        <w:tblLook w:firstRow="0" w:lastRow="0" w:firstColumn="0" w:lastColumn="0" w:noHBand="0" w:noVBand="0" w:val="0000"/>
      </w:tblPr>
      <w:tblGrid>
        <w:gridCol w:w="7920"/>
      </w:tblGrid>
      <w:tr>
        <w:tc>
          <w:tcPr/>
          <w:bookmarkStart w:id="103" w:name="fig-medproj"/>
          <w:p>
            <w:pPr>
              <w:pStyle w:val="Figure"/>
              <w:jc w:val="center"/>
            </w:pPr>
            <w:r>
              <w:drawing>
                <wp:inline>
                  <wp:extent cx="5776928" cy="2886935"/>
                  <wp:effectExtent b="0" l="0" r="0" t="0"/>
                  <wp:docPr descr="" title="" id="101" name="Picture"/>
                  <a:graphic>
                    <a:graphicData uri="http://schemas.openxmlformats.org/drawingml/2006/picture">
                      <pic:pic>
                        <pic:nvPicPr>
                          <pic:cNvPr descr="forecast/01_Proj_MedianStatus.png" id="102" name="Picture"/>
                          <pic:cNvPicPr>
                            <a:picLocks noChangeArrowheads="1" noChangeAspect="1"/>
                          </pic:cNvPicPr>
                        </pic:nvPicPr>
                        <pic:blipFill>
                          <a:blip r:embed="rId100"/>
                          <a:stretch>
                            <a:fillRect/>
                          </a:stretch>
                        </pic:blipFill>
                        <pic:spPr bwMode="auto">
                          <a:xfrm>
                            <a:off x="0" y="0"/>
                            <a:ext cx="5776928" cy="2886935"/>
                          </a:xfrm>
                          <a:prstGeom prst="rect">
                            <a:avLst/>
                          </a:prstGeom>
                          <a:noFill/>
                          <a:ln w="9525">
                            <a:noFill/>
                            <a:headEnd/>
                            <a:tailEnd/>
                          </a:ln>
                        </pic:spPr>
                      </pic:pic>
                    </a:graphicData>
                  </a:graphic>
                </wp:inline>
              </w:drawing>
            </w:r>
          </w:p>
          <w:p>
            <w:pPr>
              <w:jc w:val="center"/>
            </w:pPr>
            <w:pPr>
              <w:jc w:val="start"/>
              <w:spacing w:before="200"/>
              <w:pStyle w:val="ImageCaption"/>
            </w:pPr>
            <w:r>
              <w:t xml:space="preserve">Figure 21: Median stock status for a range of catch values (metric tons) fixed for a given range of years. The stock status is for the final projected year.</w:t>
            </w:r>
          </w:p>
          <w:bookmarkEnd w:id="103"/>
        </w:tc>
      </w:tr>
    </w:tbl>
    <w:tbl>
      <w:tblPr>
        <w:tblStyle w:val="Table"/>
        <w:tblW w:type="pct" w:w="5000"/>
        <w:tblLook w:firstRow="0" w:lastRow="0" w:firstColumn="0" w:lastColumn="0" w:noHBand="0" w:noVBand="0" w:val="0000"/>
      </w:tblPr>
      <w:tblGrid>
        <w:gridCol w:w="7920"/>
      </w:tblGrid>
      <w:tr>
        <w:tc>
          <w:tcPr/>
          <w:bookmarkStart w:id="107" w:name="fig-projstatus"/>
          <w:p>
            <w:pPr>
              <w:pStyle w:val="Figure"/>
              <w:jc w:val="center"/>
            </w:pPr>
            <w:r>
              <w:drawing>
                <wp:inline>
                  <wp:extent cx="5776928" cy="2886935"/>
                  <wp:effectExtent b="0" l="0" r="0" t="0"/>
                  <wp:docPr descr="" title="" id="105" name="Picture"/>
                  <a:graphic>
                    <a:graphicData uri="http://schemas.openxmlformats.org/drawingml/2006/picture">
                      <pic:pic>
                        <pic:nvPicPr>
                          <pic:cNvPr descr="forecast/02_Proj_ProbStatus.png" id="106" name="Picture"/>
                          <pic:cNvPicPr>
                            <a:picLocks noChangeArrowheads="1" noChangeAspect="1"/>
                          </pic:cNvPicPr>
                        </pic:nvPicPr>
                        <pic:blipFill>
                          <a:blip r:embed="rId104"/>
                          <a:stretch>
                            <a:fillRect/>
                          </a:stretch>
                        </pic:blipFill>
                        <pic:spPr bwMode="auto">
                          <a:xfrm>
                            <a:off x="0" y="0"/>
                            <a:ext cx="5776928" cy="2886935"/>
                          </a:xfrm>
                          <a:prstGeom prst="rect">
                            <a:avLst/>
                          </a:prstGeom>
                          <a:noFill/>
                          <a:ln w="9525">
                            <a:noFill/>
                            <a:headEnd/>
                            <a:tailEnd/>
                          </a:ln>
                        </pic:spPr>
                      </pic:pic>
                    </a:graphicData>
                  </a:graphic>
                </wp:inline>
              </w:drawing>
            </w:r>
          </w:p>
          <w:p>
            <w:pPr>
              <w:jc w:val="center"/>
            </w:pPr>
            <w:pPr>
              <w:jc w:val="start"/>
              <w:spacing w:before="200"/>
              <w:pStyle w:val="ImageCaption"/>
            </w:pPr>
            <w:r>
              <w:t xml:space="preserve">Figure 22: Probability of overfishing (left panel) and of stock being overfished (right panel) for a range of catch values (metric tons) fixed for a given range of years starting in 2024. The stock status probabilities are for the final projection year.</w:t>
            </w:r>
          </w:p>
          <w:bookmarkEnd w:id="107"/>
        </w:tc>
      </w:tr>
    </w:tbl>
    <w:sectPr w:rsidR="00EC197E">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Noto Sans Symbols">
    <w:altName w:val="Calibri"/>
    <w:charset w:val="00"/>
    <w:family w:val="auto"/>
    <w:pitch w:val="default"/>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Times">
    <w:panose1 w:val="02020603050405020304"/>
    <w:charset w:val="00"/>
    <w:family w:val="roman"/>
    <w:pitch w:val="variable"/>
    <w:sig w:usb0="E0002EFF" w:usb1="C000785B" w:usb2="00000009" w:usb3="00000000" w:csb0="000001FF" w:csb1="00000000"/>
  </w:font>
  <w:font w:name="MS Mincho">
    <w:altName w:val="Yu Gothic UI"/>
    <w:panose1 w:val="02020609040205080304"/>
    <w:charset w:val="80"/>
    <w:family w:val="modern"/>
    <w:pitch w:val="fixed"/>
    <w:sig w:usb0="E00002FF" w:usb1="6AC7FDFB" w:usb2="08000012" w:usb3="00000000" w:csb0="000200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FFFFFF7C"/>
    <w:multiLevelType w:val="singleLevel"/>
    <w:tmpl w:val="6108E826"/>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AE0453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ABC674C"/>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99BC5EB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AD3C5156"/>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A9AE05A0"/>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A9F22F84"/>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9B7A47C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DCDC7BE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A2CE6C1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806F09"/>
    <w:multiLevelType w:val="hybridMultilevel"/>
    <w:tmpl w:val="161CB600"/>
    <w:lvl w:ilvl="0" w:tplc="04090001">
      <w:start w:val="1"/>
      <w:numFmt w:val="bullet"/>
      <w:lvlText w:val=""/>
      <w:lvlJc w:val="left"/>
      <w:pPr>
        <w:ind w:hanging="360" w:left="787"/>
      </w:pPr>
      <w:rPr>
        <w:rFonts w:ascii="Symbol" w:hAnsi="Symbol" w:hint="default"/>
      </w:rPr>
    </w:lvl>
    <w:lvl w:ilvl="1" w:tentative="1" w:tplc="04090003">
      <w:start w:val="1"/>
      <w:numFmt w:val="bullet"/>
      <w:lvlText w:val="o"/>
      <w:lvlJc w:val="left"/>
      <w:pPr>
        <w:ind w:hanging="360" w:left="1507"/>
      </w:pPr>
      <w:rPr>
        <w:rFonts w:ascii="Courier New" w:cs="Courier New" w:hAnsi="Courier New" w:hint="default"/>
      </w:rPr>
    </w:lvl>
    <w:lvl w:ilvl="2" w:tentative="1" w:tplc="04090005">
      <w:start w:val="1"/>
      <w:numFmt w:val="bullet"/>
      <w:lvlText w:val=""/>
      <w:lvlJc w:val="left"/>
      <w:pPr>
        <w:ind w:hanging="360" w:left="2227"/>
      </w:pPr>
      <w:rPr>
        <w:rFonts w:ascii="Wingdings" w:hAnsi="Wingdings" w:hint="default"/>
      </w:rPr>
    </w:lvl>
    <w:lvl w:ilvl="3" w:tentative="1" w:tplc="04090001">
      <w:start w:val="1"/>
      <w:numFmt w:val="bullet"/>
      <w:lvlText w:val=""/>
      <w:lvlJc w:val="left"/>
      <w:pPr>
        <w:ind w:hanging="360" w:left="2947"/>
      </w:pPr>
      <w:rPr>
        <w:rFonts w:ascii="Symbol" w:hAnsi="Symbol" w:hint="default"/>
      </w:rPr>
    </w:lvl>
    <w:lvl w:ilvl="4" w:tentative="1" w:tplc="04090003">
      <w:start w:val="1"/>
      <w:numFmt w:val="bullet"/>
      <w:lvlText w:val="o"/>
      <w:lvlJc w:val="left"/>
      <w:pPr>
        <w:ind w:hanging="360" w:left="3667"/>
      </w:pPr>
      <w:rPr>
        <w:rFonts w:ascii="Courier New" w:cs="Courier New" w:hAnsi="Courier New" w:hint="default"/>
      </w:rPr>
    </w:lvl>
    <w:lvl w:ilvl="5" w:tentative="1" w:tplc="04090005">
      <w:start w:val="1"/>
      <w:numFmt w:val="bullet"/>
      <w:lvlText w:val=""/>
      <w:lvlJc w:val="left"/>
      <w:pPr>
        <w:ind w:hanging="360" w:left="4387"/>
      </w:pPr>
      <w:rPr>
        <w:rFonts w:ascii="Wingdings" w:hAnsi="Wingdings" w:hint="default"/>
      </w:rPr>
    </w:lvl>
    <w:lvl w:ilvl="6" w:tentative="1" w:tplc="04090001">
      <w:start w:val="1"/>
      <w:numFmt w:val="bullet"/>
      <w:lvlText w:val=""/>
      <w:lvlJc w:val="left"/>
      <w:pPr>
        <w:ind w:hanging="360" w:left="5107"/>
      </w:pPr>
      <w:rPr>
        <w:rFonts w:ascii="Symbol" w:hAnsi="Symbol" w:hint="default"/>
      </w:rPr>
    </w:lvl>
    <w:lvl w:ilvl="7" w:tentative="1" w:tplc="04090003">
      <w:start w:val="1"/>
      <w:numFmt w:val="bullet"/>
      <w:lvlText w:val="o"/>
      <w:lvlJc w:val="left"/>
      <w:pPr>
        <w:ind w:hanging="360" w:left="5827"/>
      </w:pPr>
      <w:rPr>
        <w:rFonts w:ascii="Courier New" w:cs="Courier New" w:hAnsi="Courier New" w:hint="default"/>
      </w:rPr>
    </w:lvl>
    <w:lvl w:ilvl="8" w:tentative="1" w:tplc="04090005">
      <w:start w:val="1"/>
      <w:numFmt w:val="bullet"/>
      <w:lvlText w:val=""/>
      <w:lvlJc w:val="left"/>
      <w:pPr>
        <w:ind w:hanging="360" w:left="6547"/>
      </w:pPr>
      <w:rPr>
        <w:rFonts w:ascii="Wingdings" w:hAnsi="Wingdings" w:hint="default"/>
      </w:rPr>
    </w:lvl>
  </w:abstractNum>
  <w:abstractNum w15:restartNumberingAfterBreak="0" w:abstractNumId="11">
    <w:nsid w:val="102C1C0B"/>
    <w:multiLevelType w:val="hybridMultilevel"/>
    <w:tmpl w:val="E2B24B54"/>
    <w:lvl w:ilvl="0" w:tplc="F1560324">
      <w:numFmt w:val="bullet"/>
      <w:lvlText w:val="-"/>
      <w:lvlJc w:val="left"/>
      <w:pPr>
        <w:ind w:hanging="360" w:left="420"/>
      </w:pPr>
      <w:rPr>
        <w:rFonts w:ascii="Times New Roman" w:cs="Times New Roman" w:eastAsia="Calibri" w:hAnsi="Times New Roman" w:hint="default"/>
      </w:rPr>
    </w:lvl>
    <w:lvl w:ilvl="1" w:tentative="1" w:tplc="04090003">
      <w:start w:val="1"/>
      <w:numFmt w:val="bullet"/>
      <w:lvlText w:val="o"/>
      <w:lvlJc w:val="left"/>
      <w:pPr>
        <w:ind w:hanging="360" w:left="1140"/>
      </w:pPr>
      <w:rPr>
        <w:rFonts w:ascii="Courier New" w:cs="Courier New" w:hAnsi="Courier New" w:hint="default"/>
      </w:rPr>
    </w:lvl>
    <w:lvl w:ilvl="2" w:tentative="1" w:tplc="04090005">
      <w:start w:val="1"/>
      <w:numFmt w:val="bullet"/>
      <w:lvlText w:val=""/>
      <w:lvlJc w:val="left"/>
      <w:pPr>
        <w:ind w:hanging="360" w:left="1860"/>
      </w:pPr>
      <w:rPr>
        <w:rFonts w:ascii="Wingdings" w:hAnsi="Wingdings" w:hint="default"/>
      </w:rPr>
    </w:lvl>
    <w:lvl w:ilvl="3" w:tentative="1" w:tplc="04090001">
      <w:start w:val="1"/>
      <w:numFmt w:val="bullet"/>
      <w:lvlText w:val=""/>
      <w:lvlJc w:val="left"/>
      <w:pPr>
        <w:ind w:hanging="360" w:left="2580"/>
      </w:pPr>
      <w:rPr>
        <w:rFonts w:ascii="Symbol" w:hAnsi="Symbol" w:hint="default"/>
      </w:rPr>
    </w:lvl>
    <w:lvl w:ilvl="4" w:tentative="1" w:tplc="04090003">
      <w:start w:val="1"/>
      <w:numFmt w:val="bullet"/>
      <w:lvlText w:val="o"/>
      <w:lvlJc w:val="left"/>
      <w:pPr>
        <w:ind w:hanging="360" w:left="3300"/>
      </w:pPr>
      <w:rPr>
        <w:rFonts w:ascii="Courier New" w:cs="Courier New" w:hAnsi="Courier New" w:hint="default"/>
      </w:rPr>
    </w:lvl>
    <w:lvl w:ilvl="5" w:tentative="1" w:tplc="04090005">
      <w:start w:val="1"/>
      <w:numFmt w:val="bullet"/>
      <w:lvlText w:val=""/>
      <w:lvlJc w:val="left"/>
      <w:pPr>
        <w:ind w:hanging="360" w:left="4020"/>
      </w:pPr>
      <w:rPr>
        <w:rFonts w:ascii="Wingdings" w:hAnsi="Wingdings" w:hint="default"/>
      </w:rPr>
    </w:lvl>
    <w:lvl w:ilvl="6" w:tentative="1" w:tplc="04090001">
      <w:start w:val="1"/>
      <w:numFmt w:val="bullet"/>
      <w:lvlText w:val=""/>
      <w:lvlJc w:val="left"/>
      <w:pPr>
        <w:ind w:hanging="360" w:left="4740"/>
      </w:pPr>
      <w:rPr>
        <w:rFonts w:ascii="Symbol" w:hAnsi="Symbol" w:hint="default"/>
      </w:rPr>
    </w:lvl>
    <w:lvl w:ilvl="7" w:tentative="1" w:tplc="04090003">
      <w:start w:val="1"/>
      <w:numFmt w:val="bullet"/>
      <w:lvlText w:val="o"/>
      <w:lvlJc w:val="left"/>
      <w:pPr>
        <w:ind w:hanging="360" w:left="5460"/>
      </w:pPr>
      <w:rPr>
        <w:rFonts w:ascii="Courier New" w:cs="Courier New" w:hAnsi="Courier New" w:hint="default"/>
      </w:rPr>
    </w:lvl>
    <w:lvl w:ilvl="8" w:tentative="1" w:tplc="04090005">
      <w:start w:val="1"/>
      <w:numFmt w:val="bullet"/>
      <w:lvlText w:val=""/>
      <w:lvlJc w:val="left"/>
      <w:pPr>
        <w:ind w:hanging="360" w:left="6180"/>
      </w:pPr>
      <w:rPr>
        <w:rFonts w:ascii="Wingdings" w:hAnsi="Wingdings" w:hint="default"/>
      </w:rPr>
    </w:lvl>
  </w:abstractNum>
  <w:abstractNum w15:restartNumberingAfterBreak="0" w:abstractNumId="12">
    <w:nsid w:val="13CC3361"/>
    <w:multiLevelType w:val="multilevel"/>
    <w:tmpl w:val="9E62BC28"/>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3">
    <w:nsid w:val="170CD2DE"/>
    <w:multiLevelType w:val="multilevel"/>
    <w:tmpl w:val="7D6CF930"/>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4">
    <w:nsid w:val="1E2D4953"/>
    <w:multiLevelType w:val="multilevel"/>
    <w:tmpl w:val="3C620928"/>
    <w:lvl w:ilvl="0">
      <w:start w:val="1"/>
      <w:numFmt w:val="decimal"/>
      <w:lvlText w:val="%1"/>
      <w:lvlJc w:val="left"/>
      <w:pPr>
        <w:ind w:hanging="432" w:left="432"/>
      </w:pPr>
    </w:lvl>
    <w:lvl w:ilvl="1">
      <w:start w:val="1"/>
      <w:numFmt w:val="decimal"/>
      <w:lvlText w:val="%1.%2"/>
      <w:lvlJc w:val="left"/>
      <w:pPr>
        <w:ind w:hanging="576" w:left="576"/>
      </w:pPr>
      <w:rPr>
        <w:b/>
      </w:rPr>
    </w:lvl>
    <w:lvl w:ilvl="2">
      <w:start w:val="1"/>
      <w:numFmt w:val="decimal"/>
      <w:lvlText w:val="%1.%2.%3"/>
      <w:lvlJc w:val="left"/>
      <w:pPr>
        <w:ind w:hanging="720" w:left="720"/>
      </w:pPr>
    </w:lvl>
    <w:lvl w:ilvl="3">
      <w:start w:val="1"/>
      <w:numFmt w:val="decimal"/>
      <w:lvlText w:val="%1.%2.%3.%4"/>
      <w:lvlJc w:val="left"/>
      <w:pPr>
        <w:ind w:hanging="864" w:left="864"/>
      </w:pPr>
    </w:lvl>
    <w:lvl w:ilvl="4">
      <w:start w:val="1"/>
      <w:numFmt w:val="decimal"/>
      <w:lvlText w:val="%1.%2.%3.%4.%5"/>
      <w:lvlJc w:val="left"/>
      <w:pPr>
        <w:ind w:hanging="1008" w:left="1008"/>
      </w:pPr>
    </w:lvl>
    <w:lvl w:ilvl="5">
      <w:start w:val="1"/>
      <w:numFmt w:val="decimal"/>
      <w:lvlText w:val="%1.%2.%3.%4.%5.%6"/>
      <w:lvlJc w:val="left"/>
      <w:pPr>
        <w:ind w:hanging="1152" w:left="1152"/>
      </w:pPr>
    </w:lvl>
    <w:lvl w:ilvl="6">
      <w:start w:val="1"/>
      <w:numFmt w:val="decimal"/>
      <w:lvlText w:val="%1.%2.%3.%4.%5.%6.%7"/>
      <w:lvlJc w:val="left"/>
      <w:pPr>
        <w:ind w:hanging="1296" w:left="1296"/>
      </w:pPr>
    </w:lvl>
    <w:lvl w:ilvl="7">
      <w:start w:val="1"/>
      <w:numFmt w:val="decimal"/>
      <w:lvlText w:val="%1.%2.%3.%4.%5.%6.%7.%8"/>
      <w:lvlJc w:val="left"/>
      <w:pPr>
        <w:ind w:hanging="1440" w:left="1440"/>
      </w:pPr>
    </w:lvl>
    <w:lvl w:ilvl="8">
      <w:start w:val="1"/>
      <w:numFmt w:val="decimal"/>
      <w:lvlText w:val="%1.%2.%3.%4.%5.%6.%7.%8.%9"/>
      <w:lvlJc w:val="left"/>
      <w:pPr>
        <w:ind w:hanging="1584" w:left="1584"/>
      </w:pPr>
    </w:lvl>
  </w:abstractNum>
  <w:abstractNum w15:restartNumberingAfterBreak="0" w:abstractNumId="15">
    <w:nsid w:val="332E33E3"/>
    <w:multiLevelType w:val="multilevel"/>
    <w:tmpl w:val="78AAB5D0"/>
    <w:lvl w:ilvl="0">
      <w:start w:val="1"/>
      <w:numFmt w:val="bullet"/>
      <w:lvlText w:val="●"/>
      <w:lvlJc w:val="left"/>
      <w:pPr>
        <w:ind w:hanging="360" w:left="720"/>
      </w:pPr>
      <w:rPr>
        <w:rFonts w:ascii="Noto Sans Symbols" w:cs="Noto Sans Symbols" w:eastAsia="Noto Sans Symbols" w:hAnsi="Noto Sans Symbols"/>
      </w:rPr>
    </w:lvl>
    <w:lvl w:ilvl="1">
      <w:start w:val="1"/>
      <w:numFmt w:val="bullet"/>
      <w:lvlText w:val="o"/>
      <w:lvlJc w:val="left"/>
      <w:pPr>
        <w:ind w:hanging="360" w:left="1440"/>
      </w:pPr>
      <w:rPr>
        <w:rFonts w:ascii="Courier New" w:cs="Courier New" w:eastAsia="Courier New" w:hAnsi="Courier New"/>
      </w:rPr>
    </w:lvl>
    <w:lvl w:ilvl="2">
      <w:start w:val="1"/>
      <w:numFmt w:val="bullet"/>
      <w:lvlText w:val="▪"/>
      <w:lvlJc w:val="left"/>
      <w:pPr>
        <w:ind w:hanging="360" w:left="2160"/>
      </w:pPr>
      <w:rPr>
        <w:rFonts w:ascii="Noto Sans Symbols" w:cs="Noto Sans Symbols" w:eastAsia="Noto Sans Symbols" w:hAnsi="Noto Sans Symbols"/>
      </w:rPr>
    </w:lvl>
    <w:lvl w:ilvl="3">
      <w:start w:val="1"/>
      <w:numFmt w:val="bullet"/>
      <w:lvlText w:val="●"/>
      <w:lvlJc w:val="left"/>
      <w:pPr>
        <w:ind w:hanging="360" w:left="2880"/>
      </w:pPr>
      <w:rPr>
        <w:rFonts w:ascii="Noto Sans Symbols" w:cs="Noto Sans Symbols" w:eastAsia="Noto Sans Symbols" w:hAnsi="Noto Sans Symbols"/>
      </w:rPr>
    </w:lvl>
    <w:lvl w:ilvl="4">
      <w:start w:val="1"/>
      <w:numFmt w:val="bullet"/>
      <w:lvlText w:val="o"/>
      <w:lvlJc w:val="left"/>
      <w:pPr>
        <w:ind w:hanging="360" w:left="3600"/>
      </w:pPr>
      <w:rPr>
        <w:rFonts w:ascii="Courier New" w:cs="Courier New" w:eastAsia="Courier New" w:hAnsi="Courier New"/>
      </w:rPr>
    </w:lvl>
    <w:lvl w:ilvl="5">
      <w:start w:val="1"/>
      <w:numFmt w:val="bullet"/>
      <w:lvlText w:val="▪"/>
      <w:lvlJc w:val="left"/>
      <w:pPr>
        <w:ind w:hanging="360" w:left="4320"/>
      </w:pPr>
      <w:rPr>
        <w:rFonts w:ascii="Noto Sans Symbols" w:cs="Noto Sans Symbols" w:eastAsia="Noto Sans Symbols" w:hAnsi="Noto Sans Symbols"/>
      </w:rPr>
    </w:lvl>
    <w:lvl w:ilvl="6">
      <w:start w:val="1"/>
      <w:numFmt w:val="bullet"/>
      <w:lvlText w:val="●"/>
      <w:lvlJc w:val="left"/>
      <w:pPr>
        <w:ind w:hanging="360" w:left="5040"/>
      </w:pPr>
      <w:rPr>
        <w:rFonts w:ascii="Noto Sans Symbols" w:cs="Noto Sans Symbols" w:eastAsia="Noto Sans Symbols" w:hAnsi="Noto Sans Symbols"/>
      </w:rPr>
    </w:lvl>
    <w:lvl w:ilvl="7">
      <w:start w:val="1"/>
      <w:numFmt w:val="bullet"/>
      <w:lvlText w:val="o"/>
      <w:lvlJc w:val="left"/>
      <w:pPr>
        <w:ind w:hanging="360" w:left="5760"/>
      </w:pPr>
      <w:rPr>
        <w:rFonts w:ascii="Courier New" w:cs="Courier New" w:eastAsia="Courier New" w:hAnsi="Courier New"/>
      </w:rPr>
    </w:lvl>
    <w:lvl w:ilvl="8">
      <w:start w:val="1"/>
      <w:numFmt w:val="bullet"/>
      <w:lvlText w:val="▪"/>
      <w:lvlJc w:val="left"/>
      <w:pPr>
        <w:ind w:hanging="360" w:left="6480"/>
      </w:pPr>
      <w:rPr>
        <w:rFonts w:ascii="Noto Sans Symbols" w:cs="Noto Sans Symbols" w:eastAsia="Noto Sans Symbols" w:hAnsi="Noto Sans Symbols"/>
      </w:rPr>
    </w:lvl>
  </w:abstractNum>
  <w:abstractNum w15:restartNumberingAfterBreak="0" w:abstractNumId="16">
    <w:nsid w:val="35CB76C2"/>
    <w:multiLevelType w:val="multilevel"/>
    <w:tmpl w:val="9DAEBF24"/>
    <w:lvl w:ilvl="0">
      <w:start w:val="1"/>
      <w:numFmt w:val="upperLetter"/>
      <w:lvlText w:val="Appendix %1"/>
      <w:lvlJc w:val="left"/>
      <w:pPr>
        <w:ind w:hanging="360" w:left="360"/>
      </w:pPr>
      <w:rPr>
        <w:rFonts w:ascii="Arial" w:cs="Arial" w:eastAsia="Arial" w:hAnsi="Arial"/>
        <w:b/>
        <w:i w:val="0"/>
        <w:smallCaps w:val="0"/>
        <w:strike w:val="0"/>
        <w:sz w:val="28"/>
        <w:szCs w:val="28"/>
        <w:u w:val="none"/>
        <w:vertAlign w:val="baseline"/>
      </w:r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15:restartNumberingAfterBreak="0" w:abstractNumId="17">
    <w:nsid w:val="3A756219"/>
    <w:multiLevelType w:val="hybridMultilevel"/>
    <w:tmpl w:val="244E4FCA"/>
    <w:lvl w:ilvl="0" w:tplc="373682A4">
      <w:start w:val="1"/>
      <w:numFmt w:val="decimal"/>
      <w:lvlText w:val="%1."/>
      <w:lvlJc w:val="left"/>
      <w:pPr>
        <w:ind w:hanging="360" w:left="720"/>
      </w:p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18">
    <w:nsid w:val="3C2527DB"/>
    <w:multiLevelType w:val="hybridMultilevel"/>
    <w:tmpl w:val="1A36F61A"/>
    <w:lvl w:ilvl="0" w:tplc="7262B494">
      <w:start w:val="1"/>
      <w:numFmt w:val="decimal"/>
      <w:lvlText w:val="%1."/>
      <w:lvlJc w:val="left"/>
      <w:pPr>
        <w:ind w:hanging="550" w:left="720"/>
      </w:pPr>
      <w:rPr>
        <w:rFonts w:hint="default"/>
      </w:r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19">
    <w:nsid w:val="49463BC4"/>
    <w:multiLevelType w:val="multilevel"/>
    <w:tmpl w:val="04090025"/>
    <w:lvl w:ilvl="0">
      <w:start w:val="1"/>
      <w:numFmt w:val="decimal"/>
      <w:pStyle w:val="Heading1"/>
      <w:lvlText w:val="%1"/>
      <w:lvlJc w:val="left"/>
      <w:pPr>
        <w:ind w:hanging="432" w:left="432"/>
      </w:pPr>
    </w:lvl>
    <w:lvl w:ilvl="1">
      <w:start w:val="1"/>
      <w:numFmt w:val="decimal"/>
      <w:pStyle w:val="Heading2"/>
      <w:lvlText w:val="%1.%2"/>
      <w:lvlJc w:val="left"/>
      <w:pPr>
        <w:ind w:hanging="576" w:left="576"/>
      </w:pPr>
    </w:lvl>
    <w:lvl w:ilvl="2">
      <w:start w:val="1"/>
      <w:numFmt w:val="decimal"/>
      <w:pStyle w:val="Heading3"/>
      <w:lvlText w:val="%1.%2.%3"/>
      <w:lvlJc w:val="left"/>
      <w:pPr>
        <w:ind w:hanging="720" w:left="720"/>
      </w:pPr>
    </w:lvl>
    <w:lvl w:ilvl="3">
      <w:start w:val="1"/>
      <w:numFmt w:val="decimal"/>
      <w:pStyle w:val="Heading4"/>
      <w:lvlText w:val="%1.%2.%3.%4"/>
      <w:lvlJc w:val="left"/>
      <w:pPr>
        <w:ind w:hanging="864" w:left="864"/>
      </w:pPr>
    </w:lvl>
    <w:lvl w:ilvl="4">
      <w:start w:val="1"/>
      <w:numFmt w:val="decimal"/>
      <w:pStyle w:val="Heading5"/>
      <w:lvlText w:val="%1.%2.%3.%4.%5"/>
      <w:lvlJc w:val="left"/>
      <w:pPr>
        <w:ind w:hanging="1008" w:left="1008"/>
      </w:pPr>
    </w:lvl>
    <w:lvl w:ilvl="5">
      <w:start w:val="1"/>
      <w:numFmt w:val="decimal"/>
      <w:pStyle w:val="Heading6"/>
      <w:lvlText w:val="%1.%2.%3.%4.%5.%6"/>
      <w:lvlJc w:val="left"/>
      <w:pPr>
        <w:ind w:hanging="1152" w:left="1152"/>
      </w:pPr>
    </w:lvl>
    <w:lvl w:ilvl="6">
      <w:start w:val="1"/>
      <w:numFmt w:val="decimal"/>
      <w:pStyle w:val="Heading7"/>
      <w:lvlText w:val="%1.%2.%3.%4.%5.%6.%7"/>
      <w:lvlJc w:val="left"/>
      <w:pPr>
        <w:ind w:hanging="1296" w:left="1296"/>
      </w:pPr>
    </w:lvl>
    <w:lvl w:ilvl="7">
      <w:start w:val="1"/>
      <w:numFmt w:val="decimal"/>
      <w:pStyle w:val="Heading8"/>
      <w:lvlText w:val="%1.%2.%3.%4.%5.%6.%7.%8"/>
      <w:lvlJc w:val="left"/>
      <w:pPr>
        <w:ind w:hanging="1440" w:left="1440"/>
      </w:pPr>
    </w:lvl>
    <w:lvl w:ilvl="8">
      <w:start w:val="1"/>
      <w:numFmt w:val="decimal"/>
      <w:pStyle w:val="Heading9"/>
      <w:lvlText w:val="%1.%2.%3.%4.%5.%6.%7.%8.%9"/>
      <w:lvlJc w:val="left"/>
      <w:pPr>
        <w:ind w:hanging="1584" w:left="1584"/>
      </w:pPr>
    </w:lvl>
  </w:abstractNum>
  <w:abstractNum w15:restartNumberingAfterBreak="0" w:abstractNumId="20">
    <w:nsid w:val="4C440D66"/>
    <w:multiLevelType w:val="hybridMultilevel"/>
    <w:tmpl w:val="8D185AC8"/>
    <w:lvl w:ilvl="0" w:tplc="04090001">
      <w:start w:val="1"/>
      <w:numFmt w:val="bullet"/>
      <w:lvlText w:val=""/>
      <w:lvlJc w:val="left"/>
      <w:pPr>
        <w:ind w:hanging="360" w:left="907"/>
      </w:pPr>
      <w:rPr>
        <w:rFonts w:ascii="Symbol" w:hAnsi="Symbol" w:hint="default"/>
      </w:rPr>
    </w:lvl>
    <w:lvl w:ilvl="1" w:tentative="1" w:tplc="04090003">
      <w:start w:val="1"/>
      <w:numFmt w:val="bullet"/>
      <w:lvlText w:val="o"/>
      <w:lvlJc w:val="left"/>
      <w:pPr>
        <w:ind w:hanging="360" w:left="1627"/>
      </w:pPr>
      <w:rPr>
        <w:rFonts w:ascii="Courier New" w:cs="Courier New" w:hAnsi="Courier New" w:hint="default"/>
      </w:rPr>
    </w:lvl>
    <w:lvl w:ilvl="2" w:tentative="1" w:tplc="04090005">
      <w:start w:val="1"/>
      <w:numFmt w:val="bullet"/>
      <w:lvlText w:val=""/>
      <w:lvlJc w:val="left"/>
      <w:pPr>
        <w:ind w:hanging="360" w:left="2347"/>
      </w:pPr>
      <w:rPr>
        <w:rFonts w:ascii="Wingdings" w:hAnsi="Wingdings" w:hint="default"/>
      </w:rPr>
    </w:lvl>
    <w:lvl w:ilvl="3" w:tentative="1" w:tplc="04090001">
      <w:start w:val="1"/>
      <w:numFmt w:val="bullet"/>
      <w:lvlText w:val=""/>
      <w:lvlJc w:val="left"/>
      <w:pPr>
        <w:ind w:hanging="360" w:left="3067"/>
      </w:pPr>
      <w:rPr>
        <w:rFonts w:ascii="Symbol" w:hAnsi="Symbol" w:hint="default"/>
      </w:rPr>
    </w:lvl>
    <w:lvl w:ilvl="4" w:tentative="1" w:tplc="04090003">
      <w:start w:val="1"/>
      <w:numFmt w:val="bullet"/>
      <w:lvlText w:val="o"/>
      <w:lvlJc w:val="left"/>
      <w:pPr>
        <w:ind w:hanging="360" w:left="3787"/>
      </w:pPr>
      <w:rPr>
        <w:rFonts w:ascii="Courier New" w:cs="Courier New" w:hAnsi="Courier New" w:hint="default"/>
      </w:rPr>
    </w:lvl>
    <w:lvl w:ilvl="5" w:tentative="1" w:tplc="04090005">
      <w:start w:val="1"/>
      <w:numFmt w:val="bullet"/>
      <w:lvlText w:val=""/>
      <w:lvlJc w:val="left"/>
      <w:pPr>
        <w:ind w:hanging="360" w:left="4507"/>
      </w:pPr>
      <w:rPr>
        <w:rFonts w:ascii="Wingdings" w:hAnsi="Wingdings" w:hint="default"/>
      </w:rPr>
    </w:lvl>
    <w:lvl w:ilvl="6" w:tentative="1" w:tplc="04090001">
      <w:start w:val="1"/>
      <w:numFmt w:val="bullet"/>
      <w:lvlText w:val=""/>
      <w:lvlJc w:val="left"/>
      <w:pPr>
        <w:ind w:hanging="360" w:left="5227"/>
      </w:pPr>
      <w:rPr>
        <w:rFonts w:ascii="Symbol" w:hAnsi="Symbol" w:hint="default"/>
      </w:rPr>
    </w:lvl>
    <w:lvl w:ilvl="7" w:tentative="1" w:tplc="04090003">
      <w:start w:val="1"/>
      <w:numFmt w:val="bullet"/>
      <w:lvlText w:val="o"/>
      <w:lvlJc w:val="left"/>
      <w:pPr>
        <w:ind w:hanging="360" w:left="5947"/>
      </w:pPr>
      <w:rPr>
        <w:rFonts w:ascii="Courier New" w:cs="Courier New" w:hAnsi="Courier New" w:hint="default"/>
      </w:rPr>
    </w:lvl>
    <w:lvl w:ilvl="8" w:tentative="1" w:tplc="04090005">
      <w:start w:val="1"/>
      <w:numFmt w:val="bullet"/>
      <w:lvlText w:val=""/>
      <w:lvlJc w:val="left"/>
      <w:pPr>
        <w:ind w:hanging="360" w:left="6667"/>
      </w:pPr>
      <w:rPr>
        <w:rFonts w:ascii="Wingdings" w:hAnsi="Wingdings" w:hint="default"/>
      </w:rPr>
    </w:lvl>
  </w:abstractNum>
  <w:abstractNum w15:restartNumberingAfterBreak="0" w:abstractNumId="21">
    <w:nsid w:val="537C7628"/>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54463D7E"/>
    <w:multiLevelType w:val="multilevel"/>
    <w:tmpl w:val="3C620928"/>
    <w:lvl w:ilvl="0">
      <w:start w:val="1"/>
      <w:numFmt w:val="decimal"/>
      <w:lvlText w:val="%1"/>
      <w:lvlJc w:val="left"/>
      <w:pPr>
        <w:ind w:hanging="432" w:left="432"/>
      </w:pPr>
    </w:lvl>
    <w:lvl w:ilvl="1">
      <w:start w:val="1"/>
      <w:numFmt w:val="decimal"/>
      <w:lvlText w:val="%1.%2"/>
      <w:lvlJc w:val="left"/>
      <w:pPr>
        <w:ind w:hanging="576" w:left="576"/>
      </w:pPr>
      <w:rPr>
        <w:b/>
      </w:rPr>
    </w:lvl>
    <w:lvl w:ilvl="2">
      <w:start w:val="1"/>
      <w:numFmt w:val="decimal"/>
      <w:lvlText w:val="%1.%2.%3"/>
      <w:lvlJc w:val="left"/>
      <w:pPr>
        <w:ind w:hanging="720" w:left="720"/>
      </w:pPr>
    </w:lvl>
    <w:lvl w:ilvl="3">
      <w:start w:val="1"/>
      <w:numFmt w:val="decimal"/>
      <w:lvlText w:val="%1.%2.%3.%4"/>
      <w:lvlJc w:val="left"/>
      <w:pPr>
        <w:ind w:hanging="864" w:left="864"/>
      </w:pPr>
    </w:lvl>
    <w:lvl w:ilvl="4">
      <w:start w:val="1"/>
      <w:numFmt w:val="decimal"/>
      <w:lvlText w:val="%1.%2.%3.%4.%5"/>
      <w:lvlJc w:val="left"/>
      <w:pPr>
        <w:ind w:hanging="1008" w:left="1008"/>
      </w:pPr>
    </w:lvl>
    <w:lvl w:ilvl="5">
      <w:start w:val="1"/>
      <w:numFmt w:val="decimal"/>
      <w:lvlText w:val="%1.%2.%3.%4.%5.%6"/>
      <w:lvlJc w:val="left"/>
      <w:pPr>
        <w:ind w:hanging="1152" w:left="1152"/>
      </w:pPr>
    </w:lvl>
    <w:lvl w:ilvl="6">
      <w:start w:val="1"/>
      <w:numFmt w:val="decimal"/>
      <w:lvlText w:val="%1.%2.%3.%4.%5.%6.%7"/>
      <w:lvlJc w:val="left"/>
      <w:pPr>
        <w:ind w:hanging="1296" w:left="1296"/>
      </w:pPr>
    </w:lvl>
    <w:lvl w:ilvl="7">
      <w:start w:val="1"/>
      <w:numFmt w:val="decimal"/>
      <w:lvlText w:val="%1.%2.%3.%4.%5.%6.%7.%8"/>
      <w:lvlJc w:val="left"/>
      <w:pPr>
        <w:ind w:hanging="1440" w:left="1440"/>
      </w:pPr>
    </w:lvl>
    <w:lvl w:ilvl="8">
      <w:start w:val="1"/>
      <w:numFmt w:val="decimal"/>
      <w:lvlText w:val="%1.%2.%3.%4.%5.%6.%7.%8.%9"/>
      <w:lvlJc w:val="left"/>
      <w:pPr>
        <w:ind w:hanging="1584" w:left="1584"/>
      </w:pPr>
    </w:lvl>
  </w:abstractNum>
  <w:abstractNum w15:restartNumberingAfterBreak="0" w:abstractNumId="23">
    <w:nsid w:val="5A1770AA"/>
    <w:multiLevelType w:val="multilevel"/>
    <w:tmpl w:val="D8F4AA4E"/>
    <w:lvl w:ilvl="0">
      <w:start w:val="1"/>
      <w:numFmt w:val="decimal"/>
      <w:pStyle w:val="AppxHeading"/>
      <w:lvlText w:val="%1."/>
      <w:lvlJc w:val="left"/>
      <w:pPr>
        <w:tabs>
          <w:tab w:pos="720" w:val="num"/>
        </w:tabs>
        <w:ind w:hanging="720" w:left="720"/>
      </w:pPr>
    </w:lvl>
    <w:lvl w:ilvl="1">
      <w:start w:val="1"/>
      <w:numFmt w:val="decimal"/>
      <w:lvlText w:val="%2."/>
      <w:lvlJc w:val="left"/>
      <w:pPr>
        <w:tabs>
          <w:tab w:pos="1440" w:val="num"/>
        </w:tabs>
        <w:ind w:hanging="720" w:left="1440"/>
      </w:pPr>
    </w:lvl>
    <w:lvl w:ilvl="2">
      <w:start w:val="1"/>
      <w:numFmt w:val="decimal"/>
      <w:lvlText w:val="%3."/>
      <w:lvlJc w:val="left"/>
      <w:pPr>
        <w:tabs>
          <w:tab w:pos="2160" w:val="num"/>
        </w:tabs>
        <w:ind w:hanging="720" w:left="2160"/>
      </w:pPr>
    </w:lvl>
    <w:lvl w:ilvl="3">
      <w:start w:val="1"/>
      <w:numFmt w:val="decimal"/>
      <w:lvlText w:val="%4."/>
      <w:lvlJc w:val="left"/>
      <w:pPr>
        <w:tabs>
          <w:tab w:pos="2880" w:val="num"/>
        </w:tabs>
        <w:ind w:hanging="720" w:left="2880"/>
      </w:pPr>
    </w:lvl>
    <w:lvl w:ilvl="4">
      <w:start w:val="1"/>
      <w:numFmt w:val="decimal"/>
      <w:lvlText w:val="%5."/>
      <w:lvlJc w:val="left"/>
      <w:pPr>
        <w:tabs>
          <w:tab w:pos="3600" w:val="num"/>
        </w:tabs>
        <w:ind w:hanging="720" w:left="3600"/>
      </w:pPr>
    </w:lvl>
    <w:lvl w:ilvl="5">
      <w:start w:val="1"/>
      <w:numFmt w:val="decimal"/>
      <w:lvlText w:val="%6."/>
      <w:lvlJc w:val="left"/>
      <w:pPr>
        <w:tabs>
          <w:tab w:pos="4320" w:val="num"/>
        </w:tabs>
        <w:ind w:hanging="720" w:left="4320"/>
      </w:pPr>
    </w:lvl>
    <w:lvl w:ilvl="6">
      <w:start w:val="1"/>
      <w:numFmt w:val="decimal"/>
      <w:lvlText w:val="%7."/>
      <w:lvlJc w:val="left"/>
      <w:pPr>
        <w:tabs>
          <w:tab w:pos="5040" w:val="num"/>
        </w:tabs>
        <w:ind w:hanging="720" w:left="5040"/>
      </w:pPr>
    </w:lvl>
    <w:lvl w:ilvl="7">
      <w:start w:val="1"/>
      <w:numFmt w:val="decimal"/>
      <w:lvlText w:val="%8."/>
      <w:lvlJc w:val="left"/>
      <w:pPr>
        <w:tabs>
          <w:tab w:pos="5760" w:val="num"/>
        </w:tabs>
        <w:ind w:hanging="720" w:left="5760"/>
      </w:pPr>
    </w:lvl>
    <w:lvl w:ilvl="8">
      <w:start w:val="1"/>
      <w:numFmt w:val="decimal"/>
      <w:lvlText w:val="%9."/>
      <w:lvlJc w:val="left"/>
      <w:pPr>
        <w:tabs>
          <w:tab w:pos="6480" w:val="num"/>
        </w:tabs>
        <w:ind w:hanging="720" w:left="6480"/>
      </w:pPr>
    </w:lvl>
  </w:abstractNum>
  <w:abstractNum w15:restartNumberingAfterBreak="0" w:abstractNumId="24">
    <w:nsid w:val="5A1F2966"/>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5">
    <w:nsid w:val="6BB26592"/>
    <w:multiLevelType w:val="hybridMultilevel"/>
    <w:tmpl w:val="3D507014"/>
    <w:lvl w:ilvl="0" w:tplc="2AA8F7E8">
      <w:numFmt w:val="bullet"/>
      <w:lvlText w:val="-"/>
      <w:lvlJc w:val="left"/>
      <w:pPr>
        <w:ind w:hanging="360" w:left="1080"/>
      </w:pPr>
      <w:rPr>
        <w:rFonts w:ascii="Arial" w:cs="Arial" w:eastAsia="Calibri" w:hAnsi="Arial" w:hint="default"/>
      </w:rPr>
    </w:lvl>
    <w:lvl w:ilvl="1" w:tentative="1" w:tplc="04090003">
      <w:start w:val="1"/>
      <w:numFmt w:val="bullet"/>
      <w:lvlText w:val="o"/>
      <w:lvlJc w:val="left"/>
      <w:pPr>
        <w:ind w:hanging="360" w:left="1800"/>
      </w:pPr>
      <w:rPr>
        <w:rFonts w:ascii="Courier New" w:cs="Courier New" w:hAnsi="Courier New" w:hint="default"/>
      </w:rPr>
    </w:lvl>
    <w:lvl w:ilvl="2" w:tentative="1" w:tplc="04090005">
      <w:start w:val="1"/>
      <w:numFmt w:val="bullet"/>
      <w:lvlText w:val=""/>
      <w:lvlJc w:val="left"/>
      <w:pPr>
        <w:ind w:hanging="360" w:left="2520"/>
      </w:pPr>
      <w:rPr>
        <w:rFonts w:ascii="Wingdings" w:hAnsi="Wingdings" w:hint="default"/>
      </w:rPr>
    </w:lvl>
    <w:lvl w:ilvl="3" w:tentative="1" w:tplc="04090001">
      <w:start w:val="1"/>
      <w:numFmt w:val="bullet"/>
      <w:lvlText w:val=""/>
      <w:lvlJc w:val="left"/>
      <w:pPr>
        <w:ind w:hanging="360" w:left="3240"/>
      </w:pPr>
      <w:rPr>
        <w:rFonts w:ascii="Symbol" w:hAnsi="Symbol" w:hint="default"/>
      </w:rPr>
    </w:lvl>
    <w:lvl w:ilvl="4" w:tentative="1" w:tplc="04090003">
      <w:start w:val="1"/>
      <w:numFmt w:val="bullet"/>
      <w:lvlText w:val="o"/>
      <w:lvlJc w:val="left"/>
      <w:pPr>
        <w:ind w:hanging="360" w:left="3960"/>
      </w:pPr>
      <w:rPr>
        <w:rFonts w:ascii="Courier New" w:cs="Courier New" w:hAnsi="Courier New" w:hint="default"/>
      </w:rPr>
    </w:lvl>
    <w:lvl w:ilvl="5" w:tentative="1" w:tplc="04090005">
      <w:start w:val="1"/>
      <w:numFmt w:val="bullet"/>
      <w:lvlText w:val=""/>
      <w:lvlJc w:val="left"/>
      <w:pPr>
        <w:ind w:hanging="360" w:left="4680"/>
      </w:pPr>
      <w:rPr>
        <w:rFonts w:ascii="Wingdings" w:hAnsi="Wingdings" w:hint="default"/>
      </w:rPr>
    </w:lvl>
    <w:lvl w:ilvl="6" w:tentative="1" w:tplc="04090001">
      <w:start w:val="1"/>
      <w:numFmt w:val="bullet"/>
      <w:lvlText w:val=""/>
      <w:lvlJc w:val="left"/>
      <w:pPr>
        <w:ind w:hanging="360" w:left="5400"/>
      </w:pPr>
      <w:rPr>
        <w:rFonts w:ascii="Symbol" w:hAnsi="Symbol" w:hint="default"/>
      </w:rPr>
    </w:lvl>
    <w:lvl w:ilvl="7" w:tentative="1" w:tplc="04090003">
      <w:start w:val="1"/>
      <w:numFmt w:val="bullet"/>
      <w:lvlText w:val="o"/>
      <w:lvlJc w:val="left"/>
      <w:pPr>
        <w:ind w:hanging="360" w:left="6120"/>
      </w:pPr>
      <w:rPr>
        <w:rFonts w:ascii="Courier New" w:cs="Courier New" w:hAnsi="Courier New" w:hint="default"/>
      </w:rPr>
    </w:lvl>
    <w:lvl w:ilvl="8" w:tentative="1" w:tplc="04090005">
      <w:start w:val="1"/>
      <w:numFmt w:val="bullet"/>
      <w:lvlText w:val=""/>
      <w:lvlJc w:val="left"/>
      <w:pPr>
        <w:ind w:hanging="360" w:left="6840"/>
      </w:pPr>
      <w:rPr>
        <w:rFonts w:ascii="Wingdings" w:hAnsi="Wingdings" w:hint="default"/>
      </w:rPr>
    </w:lvl>
  </w:abstractNum>
  <w:abstractNum w15:restartNumberingAfterBreak="0" w:abstractNumId="26">
    <w:nsid w:val="71592278"/>
    <w:multiLevelType w:val="multilevel"/>
    <w:tmpl w:val="7BD2BCA8"/>
    <w:lvl w:ilvl="0">
      <w:start w:val="1"/>
      <w:numFmt w:val="decimal"/>
      <w:lvlText w:val="%1"/>
      <w:lvlJc w:val="left"/>
      <w:pPr>
        <w:ind w:hanging="432" w:left="432"/>
      </w:pPr>
      <w:rPr>
        <w:rFonts w:hint="default"/>
      </w:rPr>
    </w:lvl>
    <w:lvl w:ilvl="1">
      <w:start w:val="1"/>
      <w:numFmt w:val="decimal"/>
      <w:lvlText w:val="%1.%2"/>
      <w:lvlJc w:val="left"/>
      <w:pPr>
        <w:ind w:hanging="576" w:left="576"/>
      </w:pPr>
    </w:lvl>
    <w:lvl w:ilvl="2">
      <w:start w:val="1"/>
      <w:numFmt w:val="decimal"/>
      <w:lvlText w:val="%1.%2.%3"/>
      <w:lvlJc w:val="left"/>
      <w:pPr>
        <w:ind w:hanging="720" w:left="720"/>
      </w:pPr>
    </w:lvl>
    <w:lvl w:ilvl="3">
      <w:start w:val="1"/>
      <w:numFmt w:val="decimal"/>
      <w:lvlText w:val="%1.%2.%3.%4"/>
      <w:lvlJc w:val="left"/>
      <w:pPr>
        <w:ind w:hanging="864" w:left="864"/>
      </w:pPr>
    </w:lvl>
    <w:lvl w:ilvl="4">
      <w:start w:val="1"/>
      <w:numFmt w:val="decimal"/>
      <w:lvlText w:val="%1.%2.%3.%4.%5"/>
      <w:lvlJc w:val="left"/>
      <w:pPr>
        <w:ind w:hanging="1008" w:left="1008"/>
      </w:pPr>
    </w:lvl>
    <w:lvl w:ilvl="5">
      <w:start w:val="1"/>
      <w:numFmt w:val="decimal"/>
      <w:lvlText w:val="%1.%2.%3.%4.%5.%6"/>
      <w:lvlJc w:val="left"/>
      <w:pPr>
        <w:ind w:hanging="1152" w:left="1152"/>
      </w:pPr>
    </w:lvl>
    <w:lvl w:ilvl="6">
      <w:start w:val="1"/>
      <w:numFmt w:val="decimal"/>
      <w:lvlText w:val="%1.%2.%3.%4.%5.%6.%7"/>
      <w:lvlJc w:val="left"/>
      <w:pPr>
        <w:ind w:hanging="1296" w:left="1296"/>
      </w:pPr>
    </w:lvl>
    <w:lvl w:ilvl="7">
      <w:start w:val="1"/>
      <w:numFmt w:val="decimal"/>
      <w:lvlText w:val="%1.%2.%3.%4.%5.%6.%7.%8"/>
      <w:lvlJc w:val="left"/>
      <w:pPr>
        <w:ind w:hanging="1440" w:left="1440"/>
      </w:pPr>
    </w:lvl>
    <w:lvl w:ilvl="8">
      <w:start w:val="1"/>
      <w:numFmt w:val="decimal"/>
      <w:lvlText w:val="%1.%2.%3.%4.%5.%6.%7.%8.%9"/>
      <w:lvlJc w:val="left"/>
      <w:pPr>
        <w:ind w:hanging="1584" w:left="1584"/>
      </w:pPr>
    </w:lvl>
  </w:abstractNum>
  <w:abstractNum w15:restartNumberingAfterBreak="0" w:abstractNumId="27">
    <w:nsid w:val="79186A1C"/>
    <w:multiLevelType w:val="hybridMultilevel"/>
    <w:tmpl w:val="E3C6C8A8"/>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8">
    <w:nsid w:val="7C2A30A5"/>
    <w:multiLevelType w:val="hybridMultilevel"/>
    <w:tmpl w:val="708662AA"/>
    <w:lvl w:ilvl="0" w:tplc="C05620AE">
      <w:start w:val="1"/>
      <w:numFmt w:val="decimal"/>
      <w:lvlText w:val="%1."/>
      <w:lvlJc w:val="left"/>
      <w:pPr>
        <w:ind w:hanging="360" w:left="720"/>
      </w:p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3"/>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5"/>
  </w:num>
  <w:num w:numId="13">
    <w:abstractNumId w:val="16"/>
  </w:num>
  <w:num w:numId="14">
    <w:abstractNumId w:val="23"/>
  </w:num>
  <w:num w:numId="15">
    <w:abstractNumId w:val="24"/>
  </w:num>
  <w:num w:numId="16">
    <w:abstractNumId w:val="12"/>
  </w:num>
  <w:num w:numId="17">
    <w:abstractNumId w:val="26"/>
  </w:num>
  <w:num w:numId="18">
    <w:abstractNumId w:val="21"/>
  </w:num>
  <w:num w:numId="19">
    <w:abstractNumId w:val="28"/>
  </w:num>
  <w:num w:numId="20">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2"/>
  </w:num>
  <w:num w:numId="22">
    <w:abstractNumId w:val="22"/>
    <w:lvlOverride w:ilvl="0">
      <w:startOverride w:val="5"/>
    </w:lvlOverride>
    <w:lvlOverride w:ilvl="1">
      <w:startOverride w:val="4"/>
    </w:lvlOverride>
  </w:num>
  <w:num w:numId="23">
    <w:abstractNumId w:val="20"/>
  </w:num>
  <w:num w:numId="24">
    <w:abstractNumId w:val="10"/>
  </w:num>
  <w:num w:numId="25">
    <w:abstractNumId w:val="27"/>
  </w:num>
  <w:num w:numId="26">
    <w:abstractNumId w:val="14"/>
  </w:num>
  <w:num w:numId="27">
    <w:abstractNumId w:val="11"/>
  </w:num>
  <w:num w:numId="28">
    <w:abstractNumId w:val="25"/>
  </w:num>
  <w:num w:numId="29">
    <w:abstractNumId w:val="19"/>
  </w:num>
  <w:num w:numId="30">
    <w:abstractNumId w:val="17"/>
  </w:num>
  <w:num w:numId="31">
    <w:abstractNumId w:val="18"/>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1" w:defLockedState="0" w:defQFormat="0" w:defSemiHidden="0" w:defUIPriority="0" w:defUnhideWhenUsed="0">
    <w:lsdException w:name="heading 1" w:qFormat="1" w:uiPriority="9"/>
    <w:lsdException w:name="heading 2" w:qFormat="1" w:uiPriority="9"/>
    <w:lsdException w:name="heading 3" w:qFormat="1" w:uiPriority="9"/>
    <w:lsdException w:name="heading 4" w:qFormat="1" w:uiPriority="9"/>
    <w:lsdException w:name="heading 5" w:qFormat="1" w:uiPriority="9"/>
    <w:lsdException w:name="heading 6" w:qFormat="1" w:uiPriority="9"/>
    <w:lsdException w:name="heading 7" w:qFormat="1" w:uiPriority="9"/>
    <w:lsdException w:name="heading 8" w:qFormat="1" w:uiPriority="9"/>
    <w:lsdException w:name="heading 9" w:qFormat="1" w:uiPriority="9"/>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qFormat="1"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uiPriority="10"/>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lock Text" w:uiPriority="99"/>
    <w:lsdException w:name="Hyperlink" w:uiPriority="99"/>
    <w:lsdException w:name="FollowedHyperlink" w:uiPriority="99"/>
    <w:lsdException w:name="Strong" w:qFormat="1" w:uiPriority="22"/>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uiPriority="34"/>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uiPriority="19"/>
    <w:lsdException w:name="Intense Emphasis" w:qFormat="1" w:uiPriority="21"/>
    <w:lsdException w:name="Bibliography" w:semiHidden="1" w:unhideWhenUsed="1"/>
    <w:lsdException w:name="TOC Heading" w:qFormat="1" w:semiHidden="1" w:uiPriority="39" w:unhideWhenUsed="1"/>
    <w:lsdException w:name="Plain Table 1" w:uiPriority="4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sid w:val="002F5921"/>
  </w:style>
  <w:style w:styleId="Heading1" w:type="paragraph">
    <w:name w:val="heading 1"/>
    <w:basedOn w:val="Normal"/>
    <w:next w:val="BodyText"/>
    <w:link w:val="Heading1Char"/>
    <w:uiPriority w:val="9"/>
    <w:qFormat/>
    <w:rsid w:val="00FC27E5"/>
    <w:pPr>
      <w:keepNext/>
      <w:keepLines/>
      <w:numPr>
        <w:numId w:val="29"/>
      </w:numPr>
      <w:spacing w:after="0" w:before="120"/>
      <w:outlineLvl w:val="0"/>
    </w:pPr>
    <w:rPr>
      <w:rFonts w:ascii="Arial" w:cstheme="majorBidi" w:eastAsiaTheme="majorEastAsia" w:hAnsi="Arial"/>
      <w:b/>
      <w:bCs/>
      <w:sz w:val="32"/>
      <w:szCs w:val="32"/>
    </w:rPr>
  </w:style>
  <w:style w:styleId="Heading2" w:type="paragraph">
    <w:name w:val="heading 2"/>
    <w:basedOn w:val="Normal"/>
    <w:next w:val="BodyText"/>
    <w:link w:val="Heading2Char"/>
    <w:uiPriority w:val="9"/>
    <w:unhideWhenUsed/>
    <w:qFormat/>
    <w:rsid w:val="00FC27E5"/>
    <w:pPr>
      <w:keepNext/>
      <w:keepLines/>
      <w:numPr>
        <w:ilvl w:val="1"/>
        <w:numId w:val="29"/>
      </w:numPr>
      <w:spacing w:after="0"/>
      <w:outlineLvl w:val="1"/>
    </w:pPr>
    <w:rPr>
      <w:rFonts w:ascii="Arial" w:cstheme="majorBidi" w:eastAsiaTheme="majorEastAsia" w:hAnsi="Arial"/>
      <w:b/>
      <w:bCs/>
      <w:sz w:val="36"/>
      <w:szCs w:val="28"/>
    </w:rPr>
  </w:style>
  <w:style w:styleId="Heading3" w:type="paragraph">
    <w:name w:val="heading 3"/>
    <w:basedOn w:val="Normal"/>
    <w:next w:val="BodyText"/>
    <w:link w:val="Heading3Char"/>
    <w:uiPriority w:val="9"/>
    <w:unhideWhenUsed/>
    <w:qFormat/>
    <w:rsid w:val="00FC27E5"/>
    <w:pPr>
      <w:keepNext/>
      <w:keepLines/>
      <w:numPr>
        <w:ilvl w:val="2"/>
        <w:numId w:val="29"/>
      </w:numPr>
      <w:spacing w:after="0"/>
      <w:outlineLvl w:val="2"/>
    </w:pPr>
    <w:rPr>
      <w:rFonts w:ascii="Arial" w:cstheme="majorBidi" w:eastAsiaTheme="majorEastAsia" w:hAnsi="Arial"/>
      <w:b/>
      <w:bCs/>
    </w:rPr>
  </w:style>
  <w:style w:styleId="Heading4" w:type="paragraph">
    <w:name w:val="heading 4"/>
    <w:basedOn w:val="Normal"/>
    <w:next w:val="BodyText"/>
    <w:uiPriority w:val="9"/>
    <w:unhideWhenUsed/>
    <w:qFormat/>
    <w:rsid w:val="00FC27E5"/>
    <w:pPr>
      <w:keepNext/>
      <w:keepLines/>
      <w:numPr>
        <w:ilvl w:val="3"/>
        <w:numId w:val="29"/>
      </w:numPr>
      <w:spacing w:after="0"/>
      <w:outlineLvl w:val="3"/>
    </w:pPr>
    <w:rPr>
      <w:rFonts w:ascii="Arial" w:cstheme="majorBidi" w:eastAsiaTheme="majorEastAsia" w:hAnsi="Arial"/>
      <w:bCs/>
      <w:i/>
    </w:rPr>
  </w:style>
  <w:style w:styleId="Heading5" w:type="paragraph">
    <w:name w:val="heading 5"/>
    <w:basedOn w:val="Normal"/>
    <w:next w:val="BodyText"/>
    <w:uiPriority w:val="9"/>
    <w:unhideWhenUsed/>
    <w:qFormat/>
    <w:rsid w:val="00FC27E5"/>
    <w:pPr>
      <w:keepNext/>
      <w:keepLines/>
      <w:numPr>
        <w:ilvl w:val="4"/>
        <w:numId w:val="29"/>
      </w:numPr>
      <w:spacing w:after="0"/>
      <w:outlineLvl w:val="4"/>
    </w:pPr>
    <w:rPr>
      <w:rFonts w:ascii="Arial" w:cstheme="majorBidi" w:eastAsiaTheme="majorEastAsia" w:hAnsi="Arial"/>
      <w:iCs/>
    </w:rPr>
  </w:style>
  <w:style w:styleId="Heading6" w:type="paragraph">
    <w:name w:val="heading 6"/>
    <w:basedOn w:val="Normal"/>
    <w:next w:val="BodyText"/>
    <w:uiPriority w:val="9"/>
    <w:unhideWhenUsed/>
    <w:qFormat/>
    <w:rsid w:val="00FC27E5"/>
    <w:pPr>
      <w:keepNext/>
      <w:keepLines/>
      <w:numPr>
        <w:ilvl w:val="5"/>
        <w:numId w:val="29"/>
      </w:numPr>
      <w:spacing w:after="0"/>
      <w:outlineLvl w:val="5"/>
    </w:pPr>
    <w:rPr>
      <w:rFonts w:ascii="Arial" w:cstheme="majorBidi" w:eastAsiaTheme="majorEastAsia" w:hAnsi="Arial"/>
    </w:rPr>
  </w:style>
  <w:style w:styleId="Heading7" w:type="paragraph">
    <w:name w:val="heading 7"/>
    <w:basedOn w:val="Normal"/>
    <w:next w:val="BodyText"/>
    <w:link w:val="Heading7Char"/>
    <w:uiPriority w:val="9"/>
    <w:unhideWhenUsed/>
    <w:qFormat/>
    <w:pPr>
      <w:keepNext/>
      <w:keepLines/>
      <w:numPr>
        <w:ilvl w:val="6"/>
        <w:numId w:val="29"/>
      </w:numPr>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link w:val="Heading8Char"/>
    <w:uiPriority w:val="9"/>
    <w:unhideWhenUsed/>
    <w:qFormat/>
    <w:pPr>
      <w:keepNext/>
      <w:keepLines/>
      <w:numPr>
        <w:ilvl w:val="7"/>
        <w:numId w:val="29"/>
      </w:numPr>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link w:val="Heading9Char"/>
    <w:uiPriority w:val="9"/>
    <w:unhideWhenUsed/>
    <w:qFormat/>
    <w:pPr>
      <w:keepNext/>
      <w:keepLines/>
      <w:numPr>
        <w:ilvl w:val="8"/>
        <w:numId w:val="29"/>
      </w:numPr>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uiPriority w:val="99"/>
    <w:qFormat/>
    <w:rsid w:val="00FC27E5"/>
    <w:pPr>
      <w:spacing w:after="0"/>
      <w:jc w:val="both"/>
    </w:pPr>
    <w:rPr>
      <w:rFonts w:ascii="Arial" w:hAnsi="Arial"/>
      <w:sz w:val="22"/>
    </w:rPr>
  </w:style>
  <w:style w:customStyle="1" w:styleId="FirstParagraph" w:type="paragraph">
    <w:name w:val="First Paragraph"/>
    <w:basedOn w:val="BodyText"/>
    <w:next w:val="BodyText"/>
    <w:qFormat/>
    <w:rsid w:val="00FC27E5"/>
  </w:style>
  <w:style w:customStyle="1" w:styleId="Compact" w:type="paragraph">
    <w:name w:val="Compact"/>
    <w:basedOn w:val="BodyText"/>
    <w:qFormat/>
    <w:rsid w:val="00C91743"/>
    <w:rPr>
      <w:sz w:val="16"/>
    </w:rPr>
  </w:style>
  <w:style w:styleId="Title" w:type="paragraph">
    <w:name w:val="Title"/>
    <w:basedOn w:val="Normal"/>
    <w:next w:val="BodyText"/>
    <w:link w:val="TitleChar"/>
    <w:uiPriority w:val="10"/>
    <w:qFormat/>
    <w:rsid w:val="00FC27E5"/>
    <w:pPr>
      <w:keepNext/>
      <w:keepLines/>
      <w:spacing w:after="0"/>
    </w:pPr>
    <w:rPr>
      <w:rFonts w:ascii="Arial" w:cstheme="majorBidi" w:eastAsiaTheme="majorEastAsia" w:hAnsi="Arial"/>
      <w:b/>
      <w:bCs/>
      <w:sz w:val="44"/>
      <w:szCs w:val="36"/>
    </w:rPr>
  </w:style>
  <w:style w:styleId="Subtitle" w:type="paragraph">
    <w:name w:val="Subtitle"/>
    <w:basedOn w:val="Title"/>
    <w:next w:val="BodyText"/>
    <w:link w:val="SubtitleChar"/>
    <w:uiPriority w:val="11"/>
    <w:qFormat/>
    <w:rsid w:val="00FC27E5"/>
    <w:rPr>
      <w:sz w:val="32"/>
      <w:szCs w:val="30"/>
    </w:rPr>
  </w:style>
  <w:style w:customStyle="1" w:styleId="Author" w:type="paragraph">
    <w:name w:val="Author"/>
    <w:next w:val="BodyText"/>
    <w:qFormat/>
    <w:rsid w:val="00FC27E5"/>
    <w:pPr>
      <w:keepNext/>
      <w:keepLines/>
      <w:spacing w:after="0"/>
    </w:pPr>
    <w:rPr>
      <w:rFonts w:ascii="Arial" w:hAnsi="Arial"/>
      <w:sz w:val="32"/>
    </w:rPr>
  </w:style>
  <w:style w:styleId="Date" w:type="paragraph">
    <w:name w:val="Date"/>
    <w:next w:val="BodyText"/>
    <w:qFormat/>
    <w:rsid w:val="00FC27E5"/>
    <w:pPr>
      <w:keepNext/>
      <w:keepLines/>
      <w:spacing w:after="0"/>
    </w:pPr>
    <w:rPr>
      <w:rFonts w:ascii="Arial" w:hAnsi="Arial"/>
    </w:rPr>
  </w:style>
  <w:style w:customStyle="1" w:styleId="Abstract" w:type="paragraph">
    <w:name w:val="Abstract"/>
    <w:basedOn w:val="Normal"/>
    <w:next w:val="BodyText"/>
    <w:qFormat/>
    <w:rsid w:val="00FC27E5"/>
    <w:pPr>
      <w:keepNext/>
      <w:keepLines/>
      <w:spacing w:after="0"/>
      <w:jc w:val="both"/>
    </w:pPr>
    <w:rPr>
      <w:rFonts w:ascii="Arial" w:hAnsi="Arial"/>
      <w:sz w:val="22"/>
      <w:szCs w:val="20"/>
    </w:rPr>
  </w:style>
  <w:style w:styleId="Bibliography" w:type="paragraph">
    <w:name w:val="Bibliography"/>
    <w:basedOn w:val="Normal"/>
    <w:qFormat/>
  </w:style>
  <w:style w:styleId="BlockText" w:type="paragraph">
    <w:name w:val="Block Text"/>
    <w:basedOn w:val="BodyText"/>
    <w:next w:val="BodyText"/>
    <w:uiPriority w:val="99"/>
    <w:unhideWhenUsed/>
    <w:qFormat/>
    <w:pPr>
      <w:spacing w:after="100" w:before="100"/>
      <w:ind w:left="480" w:right="480"/>
    </w:pPr>
  </w:style>
  <w:style w:styleId="FootnoteText" w:type="paragraph">
    <w:name w:val="footnote text"/>
    <w:basedOn w:val="Normal"/>
    <w:link w:val="FootnoteTextChar"/>
    <w:uiPriority w:val="9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uiPriority w:val="35"/>
    <w:qFormat/>
    <w:rsid w:val="007B01D5"/>
    <w:pPr>
      <w:spacing w:after="120"/>
    </w:pPr>
    <w:rPr>
      <w:rFonts w:ascii="Arial" w:hAnsi="Arial"/>
      <w:sz w:val="22"/>
    </w:rPr>
  </w:style>
  <w:style w:customStyle="1" w:styleId="TableCaption" w:type="paragraph">
    <w:name w:val="Table Caption"/>
    <w:basedOn w:val="Caption"/>
    <w:next w:val="Caption"/>
    <w:rsid w:val="00AE62D7"/>
    <w:pPr>
      <w:keepNext/>
      <w:spacing w:before="120"/>
    </w:pPr>
    <w:rPr>
      <w:rFonts w:cs="Arial"/>
      <w:sz w:val="20"/>
    </w:rPr>
  </w:style>
  <w:style w:customStyle="1" w:styleId="ImageCaption" w:type="paragraph">
    <w:name w:val="Image Caption"/>
    <w:basedOn w:val="Caption"/>
  </w:style>
  <w:style w:customStyle="1" w:styleId="Figure" w:type="paragraph">
    <w:name w:val="Figure"/>
    <w:basedOn w:val="Normal"/>
    <w:rsid w:val="00055F0F"/>
    <w:pPr>
      <w:jc w:val="both"/>
    </w:pPr>
    <w:rPr>
      <w:rFonts w:ascii="Arial" w:hAnsi="Arial"/>
      <w:sz w:val="20"/>
    </w:rPr>
  </w:style>
  <w:style w:customStyle="1" w:styleId="CaptionedFigure" w:type="paragraph">
    <w:name w:val="Captioned Figure"/>
    <w:basedOn w:val="Caption"/>
    <w:rsid w:val="00055F0F"/>
    <w:pPr>
      <w:keepNext/>
      <w:spacing w:after="0"/>
    </w:pPr>
  </w:style>
  <w:style w:customStyle="1" w:styleId="CaptionChar" w:type="character">
    <w:name w:val="Caption Char"/>
    <w:basedOn w:val="DefaultParagraphFont"/>
    <w:link w:val="Caption"/>
    <w:uiPriority w:val="35"/>
    <w:rsid w:val="000411AB"/>
    <w:rPr>
      <w:rFonts w:ascii="Arial" w:hAnsi="Arial"/>
      <w:sz w:val="22"/>
    </w:rPr>
  </w:style>
  <w:style w:customStyle="1" w:styleId="VerbatimChar" w:type="character">
    <w:name w:val="Verbatim Char"/>
    <w:basedOn w:val="CaptionChar"/>
    <w:rsid w:val="00FC27E5"/>
    <w:rPr>
      <w:rFonts w:ascii="Arial" w:hAnsi="Arial"/>
      <w:sz w:val="22"/>
    </w:rPr>
  </w:style>
  <w:style w:customStyle="1" w:styleId="SectionNumber" w:type="character">
    <w:name w:val="Section Number"/>
    <w:basedOn w:val="CaptionChar"/>
    <w:rPr>
      <w:rFonts w:ascii="Arial" w:hAnsi="Arial"/>
      <w:sz w:val="22"/>
    </w:rPr>
  </w:style>
  <w:style w:styleId="FootnoteReference" w:type="character">
    <w:name w:val="footnote reference"/>
    <w:basedOn w:val="CaptionChar"/>
    <w:uiPriority w:val="99"/>
    <w:rPr>
      <w:rFonts w:ascii="Arial" w:hAnsi="Arial"/>
      <w:sz w:val="22"/>
      <w:vertAlign w:val="superscript"/>
    </w:rPr>
  </w:style>
  <w:style w:styleId="Hyperlink" w:type="character">
    <w:name w:val="Hyperlink"/>
    <w:basedOn w:val="CaptionChar"/>
    <w:uiPriority w:val="99"/>
    <w:rsid w:val="00FC27E5"/>
    <w:rPr>
      <w:rFonts w:ascii="Arial" w:hAnsi="Arial"/>
      <w:color w:val="auto"/>
      <w:sz w:val="22"/>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NoList1" w:type="numbering">
    <w:name w:val="No List1"/>
    <w:next w:val="NoList"/>
    <w:uiPriority w:val="99"/>
    <w:semiHidden/>
    <w:unhideWhenUsed/>
    <w:rsid w:val="00EC197E"/>
  </w:style>
  <w:style w:customStyle="1" w:styleId="BodyTextChar" w:type="character">
    <w:name w:val="Body Text Char"/>
    <w:basedOn w:val="DefaultParagraphFont"/>
    <w:link w:val="BodyText"/>
    <w:uiPriority w:val="99"/>
    <w:rsid w:val="00FC27E5"/>
    <w:rPr>
      <w:rFonts w:ascii="Arial" w:hAnsi="Arial"/>
      <w:sz w:val="22"/>
    </w:rPr>
  </w:style>
  <w:style w:styleId="Footer" w:type="paragraph">
    <w:name w:val="footer"/>
    <w:basedOn w:val="Normal"/>
    <w:link w:val="FooterChar"/>
    <w:uiPriority w:val="99"/>
    <w:unhideWhenUsed/>
    <w:rsid w:val="00EC197E"/>
    <w:pPr>
      <w:tabs>
        <w:tab w:pos="4680" w:val="center"/>
        <w:tab w:pos="9360" w:val="right"/>
      </w:tabs>
      <w:spacing w:after="240" w:line="276" w:lineRule="auto"/>
      <w:jc w:val="both"/>
    </w:pPr>
    <w:rPr>
      <w:rFonts w:ascii="Arial" w:cs="Times New Roman" w:eastAsia="Times New Roman" w:hAnsi="Arial"/>
      <w:sz w:val="20"/>
      <w:szCs w:val="20"/>
      <w:lang w:eastAsia="x-none" w:val="x-none"/>
    </w:rPr>
  </w:style>
  <w:style w:customStyle="1" w:styleId="FooterChar" w:type="character">
    <w:name w:val="Footer Char"/>
    <w:basedOn w:val="DefaultParagraphFont"/>
    <w:link w:val="Footer"/>
    <w:uiPriority w:val="99"/>
    <w:rsid w:val="00EC197E"/>
    <w:rPr>
      <w:rFonts w:ascii="Arial" w:cs="Times New Roman" w:eastAsia="Times New Roman" w:hAnsi="Arial"/>
      <w:sz w:val="20"/>
      <w:szCs w:val="20"/>
      <w:lang w:eastAsia="x-none" w:val="x-none"/>
    </w:rPr>
  </w:style>
  <w:style w:styleId="PageNumber" w:type="character">
    <w:name w:val="page number"/>
    <w:rsid w:val="00EC197E"/>
    <w:rPr>
      <w:rFonts w:cs="Times New Roman"/>
    </w:rPr>
  </w:style>
  <w:style w:customStyle="1" w:styleId="TitleChar" w:type="character">
    <w:name w:val="Title Char"/>
    <w:link w:val="Title"/>
    <w:uiPriority w:val="10"/>
    <w:rsid w:val="00FC27E5"/>
    <w:rPr>
      <w:rFonts w:ascii="Arial" w:cstheme="majorBidi" w:eastAsiaTheme="majorEastAsia" w:hAnsi="Arial"/>
      <w:b/>
      <w:bCs/>
      <w:sz w:val="44"/>
      <w:szCs w:val="36"/>
    </w:rPr>
  </w:style>
  <w:style w:styleId="BalloonText" w:type="paragraph">
    <w:name w:val="Balloon Text"/>
    <w:basedOn w:val="Normal"/>
    <w:link w:val="BalloonTextChar"/>
    <w:uiPriority w:val="99"/>
    <w:semiHidden/>
    <w:unhideWhenUsed/>
    <w:rsid w:val="00EC197E"/>
    <w:pPr>
      <w:spacing w:after="240" w:line="276" w:lineRule="auto"/>
      <w:jc w:val="both"/>
    </w:pPr>
    <w:rPr>
      <w:rFonts w:ascii="Tahoma" w:cs="Times New Roman" w:eastAsia="Times New Roman" w:hAnsi="Tahoma"/>
      <w:sz w:val="16"/>
      <w:szCs w:val="16"/>
      <w:lang w:eastAsia="x-none" w:val="x-none"/>
    </w:rPr>
  </w:style>
  <w:style w:customStyle="1" w:styleId="BalloonTextChar" w:type="character">
    <w:name w:val="Balloon Text Char"/>
    <w:basedOn w:val="DefaultParagraphFont"/>
    <w:link w:val="BalloonText"/>
    <w:uiPriority w:val="99"/>
    <w:semiHidden/>
    <w:rsid w:val="00EC197E"/>
    <w:rPr>
      <w:rFonts w:ascii="Tahoma" w:cs="Times New Roman" w:eastAsia="Times New Roman" w:hAnsi="Tahoma"/>
      <w:sz w:val="16"/>
      <w:szCs w:val="16"/>
      <w:lang w:eastAsia="x-none" w:val="x-none"/>
    </w:rPr>
  </w:style>
  <w:style w:styleId="Header" w:type="paragraph">
    <w:name w:val="header"/>
    <w:basedOn w:val="Normal"/>
    <w:link w:val="HeaderChar"/>
    <w:uiPriority w:val="99"/>
    <w:unhideWhenUsed/>
    <w:rsid w:val="00EC197E"/>
    <w:pPr>
      <w:tabs>
        <w:tab w:pos="4680" w:val="center"/>
        <w:tab w:pos="9360" w:val="right"/>
      </w:tabs>
      <w:spacing w:after="240" w:line="276" w:lineRule="auto"/>
      <w:jc w:val="both"/>
    </w:pPr>
    <w:rPr>
      <w:rFonts w:ascii="Arial" w:cs="Times New Roman" w:eastAsia="Times New Roman" w:hAnsi="Arial"/>
      <w:sz w:val="22"/>
      <w:szCs w:val="22"/>
    </w:rPr>
  </w:style>
  <w:style w:customStyle="1" w:styleId="HeaderChar" w:type="character">
    <w:name w:val="Header Char"/>
    <w:basedOn w:val="DefaultParagraphFont"/>
    <w:link w:val="Header"/>
    <w:uiPriority w:val="99"/>
    <w:rsid w:val="00EC197E"/>
    <w:rPr>
      <w:rFonts w:ascii="Arial" w:cs="Times New Roman" w:eastAsia="Times New Roman" w:hAnsi="Arial"/>
      <w:sz w:val="22"/>
      <w:szCs w:val="22"/>
    </w:rPr>
  </w:style>
  <w:style w:customStyle="1" w:styleId="SubtitleChar" w:type="character">
    <w:name w:val="Subtitle Char"/>
    <w:basedOn w:val="DefaultParagraphFont"/>
    <w:link w:val="Subtitle"/>
    <w:uiPriority w:val="11"/>
    <w:rsid w:val="00FC27E5"/>
    <w:rPr>
      <w:rFonts w:ascii="Arial" w:cstheme="majorBidi" w:eastAsiaTheme="majorEastAsia" w:hAnsi="Arial"/>
      <w:b/>
      <w:bCs/>
      <w:sz w:val="32"/>
      <w:szCs w:val="30"/>
    </w:rPr>
  </w:style>
  <w:style w:customStyle="1" w:styleId="Heading1Char" w:type="character">
    <w:name w:val="Heading 1 Char"/>
    <w:basedOn w:val="DefaultParagraphFont"/>
    <w:link w:val="Heading1"/>
    <w:uiPriority w:val="9"/>
    <w:rsid w:val="00FC27E5"/>
    <w:rPr>
      <w:rFonts w:ascii="Arial" w:cstheme="majorBidi" w:eastAsiaTheme="majorEastAsia" w:hAnsi="Arial"/>
      <w:b/>
      <w:bCs/>
      <w:sz w:val="32"/>
      <w:szCs w:val="32"/>
    </w:rPr>
  </w:style>
  <w:style w:customStyle="1" w:styleId="Heading2Char" w:type="character">
    <w:name w:val="Heading 2 Char"/>
    <w:basedOn w:val="DefaultParagraphFont"/>
    <w:link w:val="Heading2"/>
    <w:uiPriority w:val="9"/>
    <w:rsid w:val="00FC27E5"/>
    <w:rPr>
      <w:rFonts w:ascii="Arial" w:cstheme="majorBidi" w:eastAsiaTheme="majorEastAsia" w:hAnsi="Arial"/>
      <w:b/>
      <w:bCs/>
      <w:sz w:val="36"/>
      <w:szCs w:val="28"/>
    </w:rPr>
  </w:style>
  <w:style w:customStyle="1" w:styleId="Heading3Char" w:type="character">
    <w:name w:val="Heading 3 Char"/>
    <w:basedOn w:val="DefaultParagraphFont"/>
    <w:link w:val="Heading3"/>
    <w:uiPriority w:val="9"/>
    <w:rsid w:val="00FC27E5"/>
    <w:rPr>
      <w:rFonts w:ascii="Arial" w:cstheme="majorBidi" w:eastAsiaTheme="majorEastAsia" w:hAnsi="Arial"/>
      <w:b/>
      <w:bCs/>
    </w:rPr>
  </w:style>
  <w:style w:customStyle="1" w:styleId="Authors" w:type="paragraph">
    <w:name w:val="Authors"/>
    <w:basedOn w:val="Subtitle"/>
    <w:link w:val="AuthorsChar"/>
    <w:qFormat/>
    <w:rsid w:val="00EC197E"/>
    <w:pPr>
      <w:keepNext w:val="0"/>
      <w:keepLines w:val="0"/>
      <w:spacing w:before="480" w:line="276" w:lineRule="auto"/>
      <w:jc w:val="both"/>
    </w:pPr>
    <w:rPr>
      <w:rFonts w:cs="Arial" w:eastAsia="Arial Narrow"/>
      <w:b w:val="0"/>
      <w:bCs w:val="0"/>
      <w:sz w:val="28"/>
      <w:szCs w:val="28"/>
    </w:rPr>
  </w:style>
  <w:style w:customStyle="1" w:styleId="USDOC" w:type="paragraph">
    <w:name w:val="US DOC"/>
    <w:basedOn w:val="Normal"/>
    <w:link w:val="USDOCChar"/>
    <w:qFormat/>
    <w:rsid w:val="00EC197E"/>
    <w:pPr>
      <w:spacing w:after="0" w:line="276" w:lineRule="auto"/>
      <w:jc w:val="both"/>
    </w:pPr>
    <w:rPr>
      <w:rFonts w:ascii="Arial Narrow" w:cs="Times New Roman" w:eastAsia="Times New Roman" w:hAnsi="Arial Narrow"/>
      <w:b/>
      <w:sz w:val="22"/>
      <w:szCs w:val="22"/>
    </w:rPr>
  </w:style>
  <w:style w:customStyle="1" w:styleId="AuthorsChar" w:type="character">
    <w:name w:val="Authors Char"/>
    <w:basedOn w:val="SubtitleChar"/>
    <w:link w:val="Authors"/>
    <w:rsid w:val="00EC197E"/>
    <w:rPr>
      <w:rFonts w:ascii="Arial" w:cs="Arial" w:eastAsia="Arial Narrow" w:hAnsi="Arial"/>
      <w:b w:val="0"/>
      <w:bCs w:val="0"/>
      <w:sz w:val="28"/>
      <w:szCs w:val="28"/>
    </w:rPr>
  </w:style>
  <w:style w:customStyle="1" w:styleId="NMFS" w:type="paragraph">
    <w:name w:val="NMFS"/>
    <w:basedOn w:val="Normal"/>
    <w:link w:val="NMFSChar"/>
    <w:qFormat/>
    <w:rsid w:val="00EC197E"/>
    <w:pPr>
      <w:spacing w:after="240" w:line="276" w:lineRule="auto"/>
      <w:jc w:val="both"/>
    </w:pPr>
    <w:rPr>
      <w:rFonts w:ascii="Arial Narrow" w:cs="Times New Roman" w:eastAsia="Times New Roman" w:hAnsi="Arial Narrow"/>
      <w:sz w:val="22"/>
      <w:szCs w:val="22"/>
    </w:rPr>
  </w:style>
  <w:style w:customStyle="1" w:styleId="USDOCChar" w:type="character">
    <w:name w:val="US DOC Char"/>
    <w:basedOn w:val="DefaultParagraphFont"/>
    <w:link w:val="USDOC"/>
    <w:rsid w:val="00EC197E"/>
    <w:rPr>
      <w:rFonts w:ascii="Arial Narrow" w:cs="Times New Roman" w:eastAsia="Times New Roman" w:hAnsi="Arial Narrow"/>
      <w:b/>
      <w:sz w:val="22"/>
      <w:szCs w:val="22"/>
    </w:rPr>
  </w:style>
  <w:style w:customStyle="1" w:styleId="NMFSChar" w:type="character">
    <w:name w:val="NMFS Char"/>
    <w:basedOn w:val="DefaultParagraphFont"/>
    <w:link w:val="NMFS"/>
    <w:rsid w:val="00EC197E"/>
    <w:rPr>
      <w:rFonts w:ascii="Arial Narrow" w:cs="Times New Roman" w:eastAsia="Times New Roman" w:hAnsi="Arial Narrow"/>
      <w:sz w:val="22"/>
      <w:szCs w:val="22"/>
    </w:rPr>
  </w:style>
  <w:style w:customStyle="1" w:styleId="DOCEmblem" w:type="paragraph">
    <w:name w:val="DOC Emblem"/>
    <w:basedOn w:val="Normal"/>
    <w:link w:val="DOCEmblemChar"/>
    <w:qFormat/>
    <w:rsid w:val="00EC197E"/>
    <w:pPr>
      <w:spacing w:after="240" w:before="2520" w:line="276" w:lineRule="auto"/>
      <w:jc w:val="both"/>
    </w:pPr>
    <w:rPr>
      <w:rFonts w:ascii="Arial" w:cs="Times New Roman" w:eastAsia="Times New Roman" w:hAnsi="Arial"/>
      <w:noProof/>
      <w:sz w:val="22"/>
      <w:szCs w:val="22"/>
    </w:rPr>
  </w:style>
  <w:style w:customStyle="1" w:styleId="Affiliations" w:type="paragraph">
    <w:name w:val="Affiliations"/>
    <w:basedOn w:val="Normal"/>
    <w:link w:val="AffiliationsChar"/>
    <w:qFormat/>
    <w:rsid w:val="00EC197E"/>
    <w:pPr>
      <w:spacing w:after="0" w:before="480" w:line="276" w:lineRule="auto"/>
      <w:ind w:hanging="360" w:left="360"/>
      <w:jc w:val="both"/>
    </w:pPr>
    <w:rPr>
      <w:rFonts w:ascii="Arial" w:cs="Arial" w:eastAsia="Times New Roman" w:hAnsi="Arial"/>
      <w:sz w:val="22"/>
      <w:szCs w:val="22"/>
    </w:rPr>
  </w:style>
  <w:style w:customStyle="1" w:styleId="DOCEmblemChar" w:type="character">
    <w:name w:val="DOC Emblem Char"/>
    <w:basedOn w:val="DefaultParagraphFont"/>
    <w:link w:val="DOCEmblem"/>
    <w:rsid w:val="00EC197E"/>
    <w:rPr>
      <w:rFonts w:ascii="Arial" w:cs="Times New Roman" w:eastAsia="Times New Roman" w:hAnsi="Arial"/>
      <w:noProof/>
      <w:sz w:val="22"/>
      <w:szCs w:val="22"/>
    </w:rPr>
  </w:style>
  <w:style w:customStyle="1" w:styleId="TM" w:type="paragraph">
    <w:name w:val="TM"/>
    <w:basedOn w:val="NMFS"/>
    <w:link w:val="TMChar"/>
    <w:qFormat/>
    <w:rsid w:val="00EC197E"/>
  </w:style>
  <w:style w:customStyle="1" w:styleId="AffiliationsChar" w:type="character">
    <w:name w:val="Affiliations Char"/>
    <w:basedOn w:val="DefaultParagraphFont"/>
    <w:link w:val="Affiliations"/>
    <w:rsid w:val="00EC197E"/>
    <w:rPr>
      <w:rFonts w:ascii="Arial" w:cs="Arial" w:eastAsia="Times New Roman" w:hAnsi="Arial"/>
      <w:sz w:val="22"/>
      <w:szCs w:val="22"/>
    </w:rPr>
  </w:style>
  <w:style w:customStyle="1" w:styleId="SubheadsTitlePages" w:type="paragraph">
    <w:name w:val="Subheads Title Pages"/>
    <w:basedOn w:val="USDOC"/>
    <w:link w:val="SubheadsTitlePagesChar"/>
    <w:qFormat/>
    <w:rsid w:val="00EC197E"/>
    <w:pPr>
      <w:spacing w:after="120"/>
    </w:pPr>
  </w:style>
  <w:style w:customStyle="1" w:styleId="TMChar" w:type="character">
    <w:name w:val="TM Char"/>
    <w:basedOn w:val="NMFSChar"/>
    <w:link w:val="TM"/>
    <w:rsid w:val="00EC197E"/>
    <w:rPr>
      <w:rFonts w:ascii="Arial Narrow" w:cs="Times New Roman" w:eastAsia="Times New Roman" w:hAnsi="Arial Narrow"/>
      <w:sz w:val="22"/>
      <w:szCs w:val="22"/>
    </w:rPr>
  </w:style>
  <w:style w:customStyle="1" w:styleId="Literature" w:type="paragraph">
    <w:name w:val="Literature"/>
    <w:basedOn w:val="Normal"/>
    <w:link w:val="LiteratureChar"/>
    <w:qFormat/>
    <w:rsid w:val="00EC197E"/>
    <w:pPr>
      <w:spacing w:after="240" w:line="276" w:lineRule="auto"/>
      <w:ind w:hanging="720" w:left="720"/>
      <w:jc w:val="both"/>
    </w:pPr>
    <w:rPr>
      <w:rFonts w:ascii="Arial" w:cs="Times New Roman" w:eastAsia="Times New Roman" w:hAnsi="Arial"/>
      <w:sz w:val="22"/>
      <w:szCs w:val="22"/>
    </w:rPr>
  </w:style>
  <w:style w:customStyle="1" w:styleId="SubheadsTitlePagesChar" w:type="character">
    <w:name w:val="Subheads Title Pages Char"/>
    <w:basedOn w:val="USDOCChar"/>
    <w:link w:val="SubheadsTitlePages"/>
    <w:rsid w:val="00EC197E"/>
    <w:rPr>
      <w:rFonts w:ascii="Arial Narrow" w:cs="Times New Roman" w:eastAsia="Times New Roman" w:hAnsi="Arial Narrow"/>
      <w:b/>
      <w:sz w:val="22"/>
      <w:szCs w:val="22"/>
    </w:rPr>
  </w:style>
  <w:style w:customStyle="1" w:styleId="LiteratureChar" w:type="character">
    <w:name w:val="Literature Char"/>
    <w:basedOn w:val="DefaultParagraphFont"/>
    <w:link w:val="Literature"/>
    <w:rsid w:val="00EC197E"/>
    <w:rPr>
      <w:rFonts w:ascii="Arial" w:cs="Times New Roman" w:eastAsia="Times New Roman" w:hAnsi="Arial"/>
      <w:sz w:val="22"/>
      <w:szCs w:val="22"/>
    </w:rPr>
  </w:style>
  <w:style w:styleId="TOC1" w:type="paragraph">
    <w:name w:val="toc 1"/>
    <w:basedOn w:val="Normal"/>
    <w:next w:val="Normal"/>
    <w:autoRedefine/>
    <w:uiPriority w:val="39"/>
    <w:unhideWhenUsed/>
    <w:rsid w:val="00EC197E"/>
    <w:pPr>
      <w:spacing w:after="100" w:line="276" w:lineRule="auto"/>
      <w:jc w:val="both"/>
    </w:pPr>
    <w:rPr>
      <w:rFonts w:ascii="Arial" w:cs="Times New Roman" w:eastAsia="Times New Roman" w:hAnsi="Arial"/>
      <w:sz w:val="22"/>
      <w:szCs w:val="22"/>
    </w:rPr>
  </w:style>
  <w:style w:styleId="TOC2" w:type="paragraph">
    <w:name w:val="toc 2"/>
    <w:basedOn w:val="Normal"/>
    <w:next w:val="Normal"/>
    <w:autoRedefine/>
    <w:uiPriority w:val="39"/>
    <w:unhideWhenUsed/>
    <w:rsid w:val="00EC197E"/>
    <w:pPr>
      <w:spacing w:after="100" w:line="276" w:lineRule="auto"/>
      <w:ind w:left="240"/>
      <w:jc w:val="both"/>
    </w:pPr>
    <w:rPr>
      <w:rFonts w:ascii="Arial" w:cs="Times New Roman" w:eastAsia="Times New Roman" w:hAnsi="Arial"/>
      <w:sz w:val="22"/>
      <w:szCs w:val="22"/>
    </w:rPr>
  </w:style>
  <w:style w:styleId="TOC3" w:type="paragraph">
    <w:name w:val="toc 3"/>
    <w:basedOn w:val="Normal"/>
    <w:next w:val="Normal"/>
    <w:autoRedefine/>
    <w:uiPriority w:val="39"/>
    <w:unhideWhenUsed/>
    <w:rsid w:val="00EC197E"/>
    <w:pPr>
      <w:spacing w:after="100" w:line="276" w:lineRule="auto"/>
      <w:ind w:left="480"/>
      <w:jc w:val="both"/>
    </w:pPr>
    <w:rPr>
      <w:rFonts w:ascii="Arial" w:cs="Times New Roman" w:eastAsia="Times New Roman" w:hAnsi="Arial"/>
      <w:sz w:val="22"/>
      <w:szCs w:val="22"/>
    </w:rPr>
  </w:style>
  <w:style w:styleId="IntenseEmphasis" w:type="character">
    <w:name w:val="Intense Emphasis"/>
    <w:uiPriority w:val="21"/>
    <w:qFormat/>
    <w:rsid w:val="00EC197E"/>
    <w:rPr>
      <w:b/>
      <w:bCs/>
      <w:i/>
      <w:iCs/>
      <w:color w:val="4F81BD"/>
    </w:rPr>
  </w:style>
  <w:style w:styleId="TableGrid" w:type="table">
    <w:name w:val="Table Grid"/>
    <w:basedOn w:val="TableNormal"/>
    <w:uiPriority w:val="59"/>
    <w:rsid w:val="00EC197E"/>
    <w:pPr>
      <w:spacing w:after="240"/>
    </w:pPr>
    <w:rPr>
      <w:rFonts w:ascii="Times New Roman" w:cs="Times New Roman" w:eastAsia="Times New Roman" w:hAnsi="Times New Roman"/>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CommentReference" w:type="character">
    <w:name w:val="annotation reference"/>
    <w:uiPriority w:val="99"/>
    <w:semiHidden/>
    <w:unhideWhenUsed/>
    <w:rsid w:val="00EC197E"/>
    <w:rPr>
      <w:sz w:val="16"/>
      <w:szCs w:val="16"/>
    </w:rPr>
  </w:style>
  <w:style w:styleId="CommentText" w:type="paragraph">
    <w:name w:val="annotation text"/>
    <w:basedOn w:val="Normal"/>
    <w:link w:val="CommentTextChar"/>
    <w:uiPriority w:val="99"/>
    <w:semiHidden/>
    <w:unhideWhenUsed/>
    <w:rsid w:val="00EC197E"/>
    <w:pPr>
      <w:spacing w:line="276" w:lineRule="auto"/>
      <w:jc w:val="both"/>
    </w:pPr>
    <w:rPr>
      <w:rFonts w:ascii="Calibri" w:cs="Times New Roman" w:eastAsia="Times New Roman" w:hAnsi="Calibri"/>
      <w:sz w:val="20"/>
      <w:szCs w:val="20"/>
    </w:rPr>
  </w:style>
  <w:style w:customStyle="1" w:styleId="CommentTextChar" w:type="character">
    <w:name w:val="Comment Text Char"/>
    <w:basedOn w:val="DefaultParagraphFont"/>
    <w:link w:val="CommentText"/>
    <w:uiPriority w:val="99"/>
    <w:semiHidden/>
    <w:rsid w:val="00EC197E"/>
    <w:rPr>
      <w:rFonts w:ascii="Calibri" w:cs="Times New Roman" w:eastAsia="Times New Roman" w:hAnsi="Calibri"/>
      <w:sz w:val="20"/>
      <w:szCs w:val="20"/>
    </w:rPr>
  </w:style>
  <w:style w:styleId="SubtleEmphasis" w:type="character">
    <w:name w:val="Subtle Emphasis"/>
    <w:uiPriority w:val="19"/>
    <w:qFormat/>
    <w:rsid w:val="00EC197E"/>
    <w:rPr>
      <w:i/>
      <w:iCs/>
      <w:color w:val="808080"/>
    </w:rPr>
  </w:style>
  <w:style w:styleId="Strong" w:type="character">
    <w:name w:val="Strong"/>
    <w:uiPriority w:val="22"/>
    <w:qFormat/>
    <w:rsid w:val="00EC197E"/>
    <w:rPr>
      <w:b/>
      <w:bCs/>
    </w:rPr>
  </w:style>
  <w:style w:styleId="NormalWeb" w:type="paragraph">
    <w:name w:val="Normal (Web)"/>
    <w:basedOn w:val="Normal"/>
    <w:uiPriority w:val="99"/>
    <w:unhideWhenUsed/>
    <w:rsid w:val="00EC197E"/>
    <w:pPr>
      <w:spacing w:after="100" w:afterAutospacing="1" w:before="100" w:beforeAutospacing="1" w:line="276" w:lineRule="auto"/>
      <w:jc w:val="both"/>
    </w:pPr>
    <w:rPr>
      <w:rFonts w:ascii="Times" w:cs="Times New Roman" w:eastAsia="MS Mincho" w:hAnsi="Times"/>
      <w:sz w:val="20"/>
      <w:szCs w:val="20"/>
    </w:rPr>
  </w:style>
  <w:style w:styleId="CommentSubject" w:type="paragraph">
    <w:name w:val="annotation subject"/>
    <w:basedOn w:val="CommentText"/>
    <w:next w:val="CommentText"/>
    <w:link w:val="CommentSubjectChar"/>
    <w:uiPriority w:val="99"/>
    <w:semiHidden/>
    <w:unhideWhenUsed/>
    <w:rsid w:val="00EC197E"/>
    <w:pPr>
      <w:spacing w:after="240" w:line="240" w:lineRule="auto"/>
    </w:pPr>
    <w:rPr>
      <w:rFonts w:ascii="Times New Roman" w:hAnsi="Times New Roman"/>
      <w:b/>
      <w:bCs/>
    </w:rPr>
  </w:style>
  <w:style w:customStyle="1" w:styleId="CommentSubjectChar" w:type="character">
    <w:name w:val="Comment Subject Char"/>
    <w:basedOn w:val="CommentTextChar"/>
    <w:link w:val="CommentSubject"/>
    <w:uiPriority w:val="99"/>
    <w:semiHidden/>
    <w:rsid w:val="00EC197E"/>
    <w:rPr>
      <w:rFonts w:ascii="Times New Roman" w:cs="Times New Roman" w:eastAsia="Times New Roman" w:hAnsi="Times New Roman"/>
      <w:b/>
      <w:bCs/>
      <w:sz w:val="20"/>
      <w:szCs w:val="20"/>
    </w:rPr>
  </w:style>
  <w:style w:customStyle="1" w:styleId="Notes" w:type="paragraph">
    <w:name w:val="Notes"/>
    <w:basedOn w:val="Normal"/>
    <w:link w:val="NotesChar"/>
    <w:qFormat/>
    <w:rsid w:val="00EC197E"/>
    <w:pPr>
      <w:spacing w:after="120" w:before="120" w:line="276" w:lineRule="auto"/>
      <w:jc w:val="both"/>
    </w:pPr>
    <w:rPr>
      <w:rFonts w:ascii="Arial" w:cs="Times New Roman" w:eastAsia="Times New Roman" w:hAnsi="Arial"/>
      <w:sz w:val="22"/>
    </w:rPr>
  </w:style>
  <w:style w:customStyle="1" w:styleId="PlainTable11" w:type="table">
    <w:name w:val="Plain Table 11"/>
    <w:basedOn w:val="TableNormal"/>
    <w:uiPriority w:val="41"/>
    <w:rsid w:val="007E594F"/>
    <w:pPr>
      <w:keepNext/>
      <w:keepLines/>
      <w:spacing w:after="100" w:afterAutospacing="1" w:before="100" w:beforeAutospacing="1"/>
      <w:jc w:val="right"/>
    </w:pPr>
    <w:rPr>
      <w:rFonts w:ascii="Arial" w:cs="Arial" w:eastAsia="Times New Roman" w:hAnsi="Arial"/>
      <w:sz w:val="16"/>
    </w:rPr>
    <w:tblPr>
      <w:tblBorders>
        <w:top w:color="auto" w:space="0" w:sz="4" w:val="single"/>
        <w:bottom w:color="auto" w:space="0" w:sz="4" w:val="single"/>
      </w:tblBorders>
      <w:tblCellMar>
        <w:left w:type="dxa" w:w="115"/>
        <w:right w:type="dxa" w:w="115"/>
      </w:tblCellMar>
    </w:tblPr>
    <w:tcPr>
      <w:shd w:color="auto" w:fill="auto" w:val="clear"/>
      <w:vAlign w:val="center"/>
    </w:tcPr>
    <w:tblStylePr w:type="firstRow">
      <w:pPr>
        <w:wordWrap/>
        <w:spacing w:after="100" w:afterAutospacing="1" w:afterLines="0" w:before="100" w:beforeAutospacing="1" w:beforeLines="0"/>
        <w:jc w:val="center"/>
      </w:pPr>
      <w:rPr>
        <w:rFonts w:ascii="Arial" w:hAnsi="Arial"/>
        <w:b/>
        <w:bCs/>
        <w:sz w:val="20"/>
      </w:rPr>
      <w:tblPr/>
      <w:tcPr>
        <w:tcBorders>
          <w:top w:color="auto" w:space="0" w:sz="4" w:val="single"/>
          <w:bottom w:color="auto" w:space="0" w:sz="4" w:val="single"/>
        </w:tcBorders>
        <w:vAlign w:val="bottom"/>
      </w:tcPr>
    </w:tblStylePr>
    <w:tblStylePr w:type="lastRow">
      <w:rPr>
        <w:rFonts w:ascii="Arial" w:hAnsi="Arial"/>
        <w:b/>
        <w:bCs/>
        <w:i w:val="0"/>
        <w:sz w:val="20"/>
      </w:rPr>
      <w:tblPr/>
      <w:tcPr>
        <w:tcBorders>
          <w:top w:val="nil"/>
          <w:left w:val="nil"/>
          <w:bottom w:color="auto" w:space="0" w:sz="4" w:val="single"/>
          <w:right w:val="nil"/>
          <w:insideH w:val="nil"/>
          <w:insideV w:val="nil"/>
        </w:tcBorders>
        <w:shd w:color="auto" w:fill="auto" w:val="clear"/>
      </w:tcPr>
    </w:tblStylePr>
    <w:tblStylePr w:type="firstCol">
      <w:pPr>
        <w:jc w:val="left"/>
      </w:pPr>
      <w:rPr>
        <w:rFonts w:ascii="Arial" w:hAnsi="Arial"/>
        <w:b w:val="0"/>
        <w:bCs/>
        <w:sz w:val="20"/>
      </w:rPr>
    </w:tblStylePr>
    <w:tblStylePr w:type="lastCol">
      <w:rPr>
        <w:rFonts w:ascii="Arial" w:hAnsi="Arial"/>
        <w:b/>
        <w:bCs/>
        <w:sz w:val="20"/>
      </w:rPr>
    </w:tblStylePr>
  </w:style>
  <w:style w:customStyle="1" w:styleId="NotesChar" w:type="character">
    <w:name w:val="Notes Char"/>
    <w:basedOn w:val="DefaultParagraphFont"/>
    <w:link w:val="Notes"/>
    <w:rsid w:val="00EC197E"/>
    <w:rPr>
      <w:rFonts w:ascii="Arial" w:cs="Times New Roman" w:eastAsia="Times New Roman" w:hAnsi="Arial"/>
      <w:sz w:val="22"/>
    </w:rPr>
  </w:style>
  <w:style w:styleId="PlainTable1" w:type="table">
    <w:name w:val="Plain Table 1"/>
    <w:aliases w:val="Tech Memo Table"/>
    <w:basedOn w:val="TableNormal"/>
    <w:uiPriority w:val="41"/>
    <w:rsid w:val="00EC197E"/>
    <w:pPr>
      <w:spacing w:after="240"/>
      <w:jc w:val="right"/>
    </w:pPr>
    <w:rPr>
      <w:rFonts w:ascii="Times New Roman" w:cs="Times New Roman" w:eastAsia="Times New Roman" w:hAnsi="Times New Roman"/>
    </w:rPr>
    <w:tblPr>
      <w:tblStyleRowBandSize w:val="1"/>
      <w:tblStyleColBandSize w:val="1"/>
      <w:jc w:val="center"/>
      <w:tblBorders>
        <w:top w:color="auto" w:space="0" w:sz="4" w:val="single"/>
        <w:bottom w:color="auto" w:space="0" w:sz="4" w:val="single"/>
      </w:tblBorders>
    </w:tblPr>
    <w:trPr>
      <w:jc w:val="center"/>
    </w:trPr>
    <w:tcPr>
      <w:vAlign w:val="center"/>
    </w:tcPr>
    <w:tblStylePr w:type="firstRow">
      <w:pPr>
        <w:jc w:val="center"/>
      </w:pPr>
      <w:rPr>
        <w:rFonts w:ascii="Times New Roman" w:hAnsi="Times New Roman"/>
        <w:b/>
        <w:bCs/>
        <w:sz w:val="24"/>
      </w:rPr>
      <w:tblPr/>
      <w:tcPr>
        <w:tcBorders>
          <w:top w:color="auto" w:space="0" w:sz="4" w:val="single"/>
          <w:left w:val="nil"/>
          <w:bottom w:color="auto" w:space="0" w:sz="4" w:val="single"/>
          <w:right w:val="nil"/>
          <w:insideH w:val="nil"/>
          <w:insideV w:val="nil"/>
        </w:tcBorders>
        <w:vAlign w:val="bottom"/>
      </w:tcPr>
    </w:tblStylePr>
    <w:tblStylePr w:type="lastRow">
      <w:rPr>
        <w:rFonts w:ascii="Times New Roman" w:hAnsi="Times New Roman"/>
        <w:b/>
        <w:bCs/>
        <w:sz w:val="24"/>
      </w:rPr>
      <w:tblPr/>
      <w:tcPr>
        <w:tcBorders>
          <w:top w:val="nil"/>
          <w:bottom w:color="auto" w:space="0" w:sz="4" w:val="single"/>
        </w:tcBorders>
      </w:tcPr>
    </w:tblStylePr>
    <w:tblStylePr w:type="firstCol">
      <w:pPr>
        <w:jc w:val="left"/>
      </w:pPr>
      <w:rPr>
        <w:rFonts w:ascii="Times New Roman" w:hAnsi="Times New Roman"/>
        <w:b w:val="0"/>
        <w:bCs/>
        <w:sz w:val="24"/>
      </w:rPr>
      <w:tblPr/>
      <w:tcPr>
        <w:vAlign w:val="top"/>
      </w:tcPr>
    </w:tblStylePr>
    <w:tblStylePr w:type="lastCol">
      <w:rPr>
        <w:rFonts w:ascii="Times New Roman" w:hAnsi="Times New Roman"/>
        <w:b w:val="0"/>
        <w:bCs/>
        <w:sz w:val="24"/>
      </w:rPr>
    </w:tblStylePr>
    <w:tblStylePr w:type="band1Vert">
      <w:rPr>
        <w:rFonts w:ascii="Times New Roman" w:hAnsi="Times New Roman"/>
        <w:sz w:val="24"/>
      </w:rPr>
    </w:tblStylePr>
    <w:tblStylePr w:type="band1Horz">
      <w:rPr>
        <w:rFonts w:ascii="Times New Roman" w:hAnsi="Times New Roman"/>
        <w:sz w:val="24"/>
      </w:rPr>
    </w:tblStylePr>
    <w:tblStylePr w:type="band2Horz">
      <w:rPr>
        <w:rFonts w:ascii="Times New Roman" w:hAnsi="Times New Roman"/>
        <w:sz w:val="24"/>
      </w:rPr>
    </w:tblStylePr>
  </w:style>
  <w:style w:styleId="TableofFigures" w:type="paragraph">
    <w:name w:val="table of figures"/>
    <w:basedOn w:val="Normal"/>
    <w:next w:val="Normal"/>
    <w:link w:val="TableofFiguresChar"/>
    <w:uiPriority w:val="99"/>
    <w:unhideWhenUsed/>
    <w:rsid w:val="00EC197E"/>
    <w:pPr>
      <w:spacing w:after="0" w:line="276" w:lineRule="auto"/>
      <w:ind w:hanging="720" w:left="720"/>
      <w:jc w:val="both"/>
    </w:pPr>
    <w:rPr>
      <w:rFonts w:ascii="Arial" w:cs="Times New Roman" w:eastAsia="Times New Roman" w:hAnsi="Arial"/>
      <w:sz w:val="22"/>
      <w:szCs w:val="22"/>
    </w:rPr>
  </w:style>
  <w:style w:customStyle="1" w:styleId="ListofTablesFigures" w:type="paragraph">
    <w:name w:val="List of Tables/Figures"/>
    <w:basedOn w:val="TableofFigures"/>
    <w:link w:val="ListofTablesFiguresChar"/>
    <w:qFormat/>
    <w:rsid w:val="00EC197E"/>
    <w:pPr>
      <w:tabs>
        <w:tab w:leader="dot" w:pos="9350" w:val="right"/>
      </w:tabs>
    </w:pPr>
    <w:rPr>
      <w:noProof/>
    </w:rPr>
  </w:style>
  <w:style w:customStyle="1" w:styleId="TableofFiguresChar" w:type="character">
    <w:name w:val="Table of Figures Char"/>
    <w:basedOn w:val="DefaultParagraphFont"/>
    <w:link w:val="TableofFigures"/>
    <w:uiPriority w:val="99"/>
    <w:rsid w:val="00EC197E"/>
    <w:rPr>
      <w:rFonts w:ascii="Arial" w:cs="Times New Roman" w:eastAsia="Times New Roman" w:hAnsi="Arial"/>
      <w:sz w:val="22"/>
      <w:szCs w:val="22"/>
    </w:rPr>
  </w:style>
  <w:style w:customStyle="1" w:styleId="ListofTablesFiguresChar" w:type="character">
    <w:name w:val="List of Tables/Figures Char"/>
    <w:basedOn w:val="TableofFiguresChar"/>
    <w:link w:val="ListofTablesFigures"/>
    <w:rsid w:val="00EC197E"/>
    <w:rPr>
      <w:rFonts w:ascii="Arial" w:cs="Times New Roman" w:eastAsia="Times New Roman" w:hAnsi="Arial"/>
      <w:noProof/>
      <w:sz w:val="22"/>
      <w:szCs w:val="22"/>
    </w:rPr>
  </w:style>
  <w:style w:styleId="ListParagraph" w:type="paragraph">
    <w:name w:val="List Paragraph"/>
    <w:basedOn w:val="Normal"/>
    <w:uiPriority w:val="34"/>
    <w:qFormat/>
    <w:rsid w:val="00EC197E"/>
    <w:pPr>
      <w:spacing w:after="240" w:line="276" w:lineRule="auto"/>
      <w:ind w:left="720"/>
      <w:contextualSpacing/>
      <w:jc w:val="both"/>
    </w:pPr>
    <w:rPr>
      <w:rFonts w:ascii="Arial" w:cs="Times New Roman" w:eastAsia="Times New Roman" w:hAnsi="Arial"/>
      <w:sz w:val="22"/>
      <w:szCs w:val="22"/>
    </w:rPr>
  </w:style>
  <w:style w:customStyle="1" w:styleId="AppxHeading" w:type="paragraph">
    <w:name w:val="Appx Heading"/>
    <w:basedOn w:val="Heading1"/>
    <w:next w:val="Normal"/>
    <w:qFormat/>
    <w:rsid w:val="00EC197E"/>
    <w:pPr>
      <w:keepLines w:val="0"/>
      <w:pageBreakBefore/>
      <w:numPr>
        <w:numId w:val="14"/>
      </w:numPr>
      <w:spacing w:after="240" w:before="240" w:line="276" w:lineRule="auto"/>
      <w:jc w:val="center"/>
    </w:pPr>
    <w:rPr>
      <w:rFonts w:cs="Times New Roman" w:eastAsia="Times New Roman"/>
      <w:bCs w:val="0"/>
      <w:szCs w:val="24"/>
    </w:rPr>
  </w:style>
  <w:style w:styleId="PlaceholderText" w:type="character">
    <w:name w:val="Placeholder Text"/>
    <w:basedOn w:val="DefaultParagraphFont"/>
    <w:uiPriority w:val="99"/>
    <w:semiHidden/>
    <w:rsid w:val="00EC197E"/>
    <w:rPr>
      <w:color w:val="808080"/>
    </w:rPr>
  </w:style>
  <w:style w:customStyle="1" w:styleId="StyleHeading1After6pt" w:type="paragraph">
    <w:name w:val="Style Heading 1 + After:  6 pt"/>
    <w:basedOn w:val="Heading1"/>
    <w:rsid w:val="00EC197E"/>
    <w:pPr>
      <w:keepLines w:val="0"/>
      <w:pageBreakBefore/>
      <w:spacing w:after="120" w:before="240" w:line="276" w:lineRule="auto"/>
      <w:jc w:val="both"/>
    </w:pPr>
    <w:rPr>
      <w:rFonts w:cs="Times New Roman" w:eastAsia="Times New Roman"/>
      <w:szCs w:val="20"/>
    </w:rPr>
  </w:style>
  <w:style w:customStyle="1" w:styleId="Heading7Char" w:type="character">
    <w:name w:val="Heading 7 Char"/>
    <w:basedOn w:val="DefaultParagraphFont"/>
    <w:link w:val="Heading7"/>
    <w:uiPriority w:val="9"/>
    <w:rsid w:val="00EC197E"/>
    <w:rPr>
      <w:rFonts w:asciiTheme="majorHAnsi" w:cstheme="majorBidi" w:eastAsiaTheme="majorEastAsia" w:hAnsiTheme="majorHAnsi"/>
      <w:color w:themeColor="accent1" w:val="4F81BD"/>
    </w:rPr>
  </w:style>
  <w:style w:customStyle="1" w:styleId="Heading8Char" w:type="character">
    <w:name w:val="Heading 8 Char"/>
    <w:basedOn w:val="DefaultParagraphFont"/>
    <w:link w:val="Heading8"/>
    <w:uiPriority w:val="9"/>
    <w:rsid w:val="00EC197E"/>
    <w:rPr>
      <w:rFonts w:asciiTheme="majorHAnsi" w:cstheme="majorBidi" w:eastAsiaTheme="majorEastAsia" w:hAnsiTheme="majorHAnsi"/>
      <w:color w:themeColor="accent1" w:val="4F81BD"/>
    </w:rPr>
  </w:style>
  <w:style w:customStyle="1" w:styleId="Heading9Char" w:type="character">
    <w:name w:val="Heading 9 Char"/>
    <w:basedOn w:val="DefaultParagraphFont"/>
    <w:link w:val="Heading9"/>
    <w:uiPriority w:val="9"/>
    <w:rsid w:val="00EC197E"/>
    <w:rPr>
      <w:rFonts w:asciiTheme="majorHAnsi" w:cstheme="majorBidi" w:eastAsiaTheme="majorEastAsia" w:hAnsiTheme="majorHAnsi"/>
      <w:color w:themeColor="accent1" w:val="4F81BD"/>
    </w:rPr>
  </w:style>
  <w:style w:customStyle="1" w:styleId="FootnoteTextChar" w:type="character">
    <w:name w:val="Footnote Text Char"/>
    <w:basedOn w:val="DefaultParagraphFont"/>
    <w:link w:val="FootnoteText"/>
    <w:uiPriority w:val="99"/>
    <w:rsid w:val="00EC197E"/>
  </w:style>
  <w:style w:styleId="FollowedHyperlink" w:type="character">
    <w:name w:val="FollowedHyperlink"/>
    <w:basedOn w:val="DefaultParagraphFont"/>
    <w:uiPriority w:val="99"/>
    <w:unhideWhenUsed/>
    <w:rsid w:val="00EC197E"/>
    <w:rPr>
      <w:color w:val="800080"/>
      <w:u w:val="single"/>
    </w:rPr>
  </w:style>
  <w:style w:customStyle="1" w:styleId="msonormal0" w:type="paragraph">
    <w:name w:val="msonormal"/>
    <w:basedOn w:val="Normal"/>
    <w:rsid w:val="00EC197E"/>
    <w:pPr>
      <w:spacing w:after="100" w:afterAutospacing="1" w:before="100" w:beforeAutospacing="1"/>
    </w:pPr>
    <w:rPr>
      <w:rFonts w:ascii="Times New Roman" w:cs="Times New Roman" w:eastAsia="Times New Roman" w:hAnsi="Times New Roman"/>
    </w:rPr>
  </w:style>
  <w:style w:customStyle="1" w:styleId="xl65" w:type="paragraph">
    <w:name w:val="xl65"/>
    <w:basedOn w:val="Normal"/>
    <w:rsid w:val="00EC197E"/>
    <w:pPr>
      <w:spacing w:after="100" w:afterAutospacing="1" w:before="100" w:beforeAutospacing="1"/>
      <w:jc w:val="center"/>
      <w:textAlignment w:val="center"/>
    </w:pPr>
    <w:rPr>
      <w:rFonts w:ascii="Times New Roman" w:cs="Times New Roman" w:eastAsia="Times New Roman" w:hAnsi="Times New Roman"/>
      <w:sz w:val="16"/>
      <w:szCs w:val="16"/>
    </w:rPr>
  </w:style>
  <w:style w:customStyle="1" w:styleId="xl66" w:type="paragraph">
    <w:name w:val="xl66"/>
    <w:basedOn w:val="Normal"/>
    <w:rsid w:val="00EC197E"/>
    <w:pPr>
      <w:spacing w:after="100" w:afterAutospacing="1" w:before="100" w:beforeAutospacing="1"/>
    </w:pPr>
    <w:rPr>
      <w:rFonts w:ascii="Times New Roman" w:cs="Times New Roman" w:eastAsia="Times New Roman" w:hAnsi="Times New Roman"/>
      <w:sz w:val="16"/>
      <w:szCs w:val="16"/>
    </w:rPr>
  </w:style>
  <w:style w:customStyle="1" w:styleId="NoSpacing1" w:type="paragraph">
    <w:name w:val="No Spacing1"/>
    <w:basedOn w:val="Normal"/>
    <w:next w:val="NoSpacing"/>
    <w:uiPriority w:val="1"/>
    <w:qFormat/>
    <w:rsid w:val="00EC197E"/>
    <w:pPr>
      <w:spacing w:after="0"/>
    </w:pPr>
    <w:rPr>
      <w:rFonts w:ascii="Arial" w:hAnsi="Arial"/>
      <w:szCs w:val="22"/>
    </w:rPr>
  </w:style>
  <w:style w:customStyle="1" w:styleId="TableText" w:type="paragraph">
    <w:name w:val="Table_Text"/>
    <w:uiPriority w:val="1"/>
    <w:qFormat/>
    <w:rsid w:val="00EC197E"/>
    <w:pPr>
      <w:spacing w:after="0"/>
    </w:pPr>
    <w:rPr>
      <w:rFonts w:ascii="Arial" w:hAnsi="Arial"/>
      <w:sz w:val="16"/>
      <w:szCs w:val="22"/>
    </w:rPr>
  </w:style>
  <w:style w:customStyle="1" w:styleId="TableText2" w:type="paragraph">
    <w:name w:val="Table_Text2"/>
    <w:basedOn w:val="Normal"/>
    <w:uiPriority w:val="1"/>
    <w:qFormat/>
    <w:rsid w:val="00EC197E"/>
    <w:pPr>
      <w:spacing w:after="240"/>
    </w:pPr>
    <w:rPr>
      <w:rFonts w:ascii="Arial" w:cs="Times New Roman" w:eastAsia="Calibri" w:hAnsi="Arial"/>
      <w:sz w:val="22"/>
      <w:szCs w:val="22"/>
    </w:rPr>
  </w:style>
  <w:style w:styleId="NoSpacing" w:type="paragraph">
    <w:name w:val="No Spacing"/>
    <w:rsid w:val="00EC197E"/>
    <w:pPr>
      <w:spacing w:after="0"/>
    </w:p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84" Target="media/rId84.png" /><Relationship Type="http://schemas.openxmlformats.org/officeDocument/2006/relationships/image" Id="rId56" Target="media/rId56.png" /><Relationship Type="http://schemas.openxmlformats.org/officeDocument/2006/relationships/image" Id="rId48" Target="media/rId48.png" /><Relationship Type="http://schemas.openxmlformats.org/officeDocument/2006/relationships/image" Id="rId72" Target="media/rId72.png" /><Relationship Type="http://schemas.openxmlformats.org/officeDocument/2006/relationships/image" Id="rId68" Target="media/rId68.png" /><Relationship Type="http://schemas.openxmlformats.org/officeDocument/2006/relationships/image" Id="rId60" Target="media/rId60.png" /><Relationship Type="http://schemas.openxmlformats.org/officeDocument/2006/relationships/image" Id="rId28" Target="media/rId28.png" /><Relationship Type="http://schemas.openxmlformats.org/officeDocument/2006/relationships/image" Id="rId32" Target="media/rId32.png" /><Relationship Type="http://schemas.openxmlformats.org/officeDocument/2006/relationships/image" Id="rId52" Target="media/rId52.png" /><Relationship Type="http://schemas.openxmlformats.org/officeDocument/2006/relationships/image" Id="rId76" Target="media/rId76.png" /><Relationship Type="http://schemas.openxmlformats.org/officeDocument/2006/relationships/image" Id="rId80" Target="media/rId80.png" /><Relationship Type="http://schemas.openxmlformats.org/officeDocument/2006/relationships/image" Id="rId40" Target="media/rId40.png" /><Relationship Type="http://schemas.openxmlformats.org/officeDocument/2006/relationships/image" Id="rId44" Target="media/rId44.png" /><Relationship Type="http://schemas.openxmlformats.org/officeDocument/2006/relationships/image" Id="rId36" Target="media/rId36.png" /><Relationship Type="http://schemas.openxmlformats.org/officeDocument/2006/relationships/image" Id="rId24" Target="media/rId24.png" /><Relationship Type="http://schemas.openxmlformats.org/officeDocument/2006/relationships/image" Id="rId88" Target="media/rId88.png" /><Relationship Type="http://schemas.openxmlformats.org/officeDocument/2006/relationships/image" Id="rId92" Target="media/rId92.png" /><Relationship Type="http://schemas.openxmlformats.org/officeDocument/2006/relationships/image" Id="rId96" Target="media/rId96.png" /><Relationship Type="http://schemas.openxmlformats.org/officeDocument/2006/relationships/image" Id="rId100" Target="media/rId100.png" /><Relationship Type="http://schemas.openxmlformats.org/officeDocument/2006/relationships/image" Id="rId104" Target="media/rId104.png" /><Relationship Type="http://schemas.openxmlformats.org/officeDocument/2006/relationships/image" Id="rId64" Target="media/rId64.png"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202</TotalTime>
  <Pages>1</Pages>
  <Words>63</Words>
  <Characters>362</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National Marine Fisheries Service</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Species figures and tables</dc:title>
  <dc:creator>Marc Nadon and Meg Oshima</dc:creator>
  <cp:keywords/>
  <dcterms:created xsi:type="dcterms:W3CDTF">2023-01-17T19:24:49Z</dcterms:created>
  <dcterms:modified xsi:type="dcterms:W3CDTF">2023-01-17T19:24:49Z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params">
    <vt:lpwstr/>
  </property>
  <property fmtid="{D5CDD505-2E9C-101B-9397-08002B2CF9AE}" pid="10" name="toc-title">
    <vt:lpwstr>Table of contents</vt:lpwstr>
  </property>
</Properties>
</file>