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Override PartName="/word/media/rId104.png" ContentType="image/png"/>
  <Override PartName="/word/media/rId84.png" ContentType="image/png"/>
  <Override PartName="/word/media/rId56.png" ContentType="image/png"/>
  <Override PartName="/word/media/rId48.png" ContentType="image/png"/>
  <Override PartName="/word/media/rId72.png" ContentType="image/png"/>
  <Override PartName="/word/media/rId68.png" ContentType="image/png"/>
  <Override PartName="/word/media/rId60.png" ContentType="image/png"/>
  <Override PartName="/word/media/rId28.png" ContentType="image/png"/>
  <Override PartName="/word/media/rId32.png" ContentType="image/png"/>
  <Override PartName="/word/media/rId52.png" ContentType="image/png"/>
  <Override PartName="/word/media/rId76.png" ContentType="image/png"/>
  <Override PartName="/word/media/rId80.png" ContentType="image/png"/>
  <Override PartName="/word/media/rId40.png" ContentType="image/png"/>
  <Override PartName="/word/media/rId44.png" ContentType="image/png"/>
  <Override PartName="/word/media/rId36.png" ContentType="image/png"/>
  <Override PartName="/word/media/rId24.png" ContentType="image/png"/>
  <Override PartName="/word/media/rId88.png" ContentType="image/png"/>
  <Override PartName="/word/media/rId92.png" ContentType="image/png"/>
  <Override PartName="/word/media/rId96.png" ContentType="image/png"/>
  <Override PartName="/word/media/rId108.png" ContentType="image/png"/>
  <Override PartName="/word/media/rId112.png" ContentType="image/png"/>
  <Override PartName="/word/media/rId6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Species</w:t>
      </w:r>
      <w:r>
        <w:t xml:space="preserve"> </w:t>
      </w:r>
      <w:r>
        <w:t xml:space="preserve">figures</w:t>
      </w:r>
      <w:r>
        <w:t xml:space="preserve"> </w:t>
      </w:r>
      <w:r>
        <w:t xml:space="preserve">and</w:t>
      </w:r>
      <w:r>
        <w:t xml:space="preserve"> </w:t>
      </w:r>
      <w:r>
        <w:t xml:space="preserve">tables</w:t>
      </w:r>
    </w:p>
    <w:p>
      <w:pPr>
        <w:pStyle w:val="Author"/>
      </w:pPr>
      <w:r>
        <w:t xml:space="preserve">Marc</w:t>
      </w:r>
      <w:r>
        <w:t xml:space="preserve"> </w:t>
      </w:r>
      <w:r>
        <w:t xml:space="preserve">Nadon</w:t>
      </w:r>
      <w:r>
        <w:t xml:space="preserve"> </w:t>
      </w:r>
      <w:r>
        <w:t xml:space="preserve">and</w:t>
      </w:r>
      <w:r>
        <w:t xml:space="preserve"> </w:t>
      </w:r>
      <w:r>
        <w:t xml:space="preserve">Meg</w:t>
      </w:r>
      <w:r>
        <w:t xml:space="preserve"> </w:t>
      </w:r>
      <w:r>
        <w:t xml:space="preserve">Oshima</w:t>
      </w:r>
    </w:p>
    <w:p>
      <w:pPr>
        <w:pStyle w:val="SourceCode"/>
      </w:pPr>
      <w:r>
        <w:rPr>
          <w:rStyle w:val="VerbatimChar"/>
        </w:rPr>
        <w:t xml:space="preserve">[1] "PRZO"</w:t>
      </w:r>
    </w:p>
    <w:tbl>
      <w:tblPr>
        <w:tblStyle w:val="Table"/>
        <w:tblW w:type="pct" w:w="5000"/>
        <w:tblLook w:firstRow="0" w:lastRow="0" w:firstColumn="0" w:lastColumn="0" w:noHBand="0" w:noVBand="0" w:val="0000"/>
      </w:tblPr>
      <w:tblGrid>
        <w:gridCol w:w="7920"/>
      </w:tblGrid>
      <w:tr>
        <w:tc>
          <w:tcPr/>
          <w:bookmarkStart w:id="23" w:name="fig-data"/>
          <w:p>
            <w:pPr>
              <w:pStyle w:val="Figure"/>
              <w:jc w:val="center"/>
            </w:pPr>
            <w:r>
              <w:drawing>
                <wp:inline>
                  <wp:extent cx="3783599" cy="3783599"/>
                  <wp:effectExtent b="0" l="0" r="0" t="0"/>
                  <wp:docPr descr="" title="" id="21" name="Picture"/>
                  <a:graphic>
                    <a:graphicData uri="http://schemas.openxmlformats.org/drawingml/2006/picture">
                      <pic:pic>
                        <pic:nvPicPr>
                          <pic:cNvPr descr="plots/data_plot2.png" id="22" name="Picture"/>
                          <pic:cNvPicPr>
                            <a:picLocks noChangeArrowheads="1" noChangeAspect="1"/>
                          </pic:cNvPicPr>
                        </pic:nvPicPr>
                        <pic:blipFill>
                          <a:blip r:embed="rId20"/>
                          <a:stretch>
                            <a:fillRect/>
                          </a:stretch>
                        </pic:blipFill>
                        <pic:spPr bwMode="auto">
                          <a:xfrm>
                            <a:off x="0" y="0"/>
                            <a:ext cx="3783599" cy="3783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data types used in the Stock Synthesis model. Catches include boat-based and shore-based landings from creel surveys (1986-2021), as well as historical catches from reports (1967-1985). The abundance index is from boat-based creel survey</w:t>
            </w:r>
            <w:r>
              <w:t xml:space="preserve"> </w:t>
            </w:r>
            <w:r>
              <w:t xml:space="preserve">“</w:t>
            </w:r>
            <w:r>
              <w:t xml:space="preserve">bottomfishing</w:t>
            </w:r>
            <w:r>
              <w:t xml:space="preserve">”</w:t>
            </w:r>
            <w:r>
              <w:t xml:space="preserve"> </w:t>
            </w:r>
            <w:r>
              <w:t xml:space="preserve">gear type. Length compositions are from creel surveys (all years) and the biosampling program (2010-2015), filtered for the</w:t>
            </w:r>
            <w:r>
              <w:t xml:space="preserve"> </w:t>
            </w:r>
            <w:r>
              <w:t xml:space="preserve">“</w:t>
            </w:r>
            <w:r>
              <w:t xml:space="preserve">bottomfishing</w:t>
            </w:r>
            <w:r>
              <w:t xml:space="preserve">”</w:t>
            </w:r>
            <w:r>
              <w:t xml:space="preserve"> </w:t>
            </w:r>
            <w:r>
              <w:t xml:space="preserve">gear.</w:t>
            </w:r>
          </w:p>
          <w:bookmarkEnd w:id="23"/>
        </w:tc>
      </w:tr>
    </w:tbl>
    <w:tbl>
      <w:tblPr>
        <w:tblStyle w:val="Table"/>
        <w:tblW w:type="pct" w:w="5000"/>
        <w:tblLook w:firstRow="0" w:lastRow="0" w:firstColumn="0" w:lastColumn="0" w:noHBand="0" w:noVBand="0" w:val="0000"/>
      </w:tblPr>
      <w:tblGrid>
        <w:gridCol w:w="7920"/>
      </w:tblGrid>
      <w:tr>
        <w:tc>
          <w:tcPr/>
          <w:bookmarkStart w:id="27" w:name="fig-growth"/>
          <w:p>
            <w:pPr>
              <w:pStyle w:val="Figure"/>
              <w:jc w:val="center"/>
            </w:pPr>
            <w:r>
              <w:drawing>
                <wp:inline>
                  <wp:extent cx="5399999" cy="2519999"/>
                  <wp:effectExtent b="0" l="0" r="0" t="0"/>
                  <wp:docPr descr="" title="" id="25" name="Picture"/>
                  <a:graphic>
                    <a:graphicData uri="http://schemas.openxmlformats.org/drawingml/2006/picture">
                      <pic:pic>
                        <pic:nvPicPr>
                          <pic:cNvPr descr="bootstrap/02_Growth.png" id="26" name="Picture"/>
                          <pic:cNvPicPr>
                            <a:picLocks noChangeArrowheads="1" noChangeAspect="1"/>
                          </pic:cNvPicPr>
                        </pic:nvPicPr>
                        <pic:blipFill>
                          <a:blip r:embed="rId24"/>
                          <a:stretch>
                            <a:fillRect/>
                          </a:stretch>
                        </pic:blipFill>
                        <pic:spPr bwMode="auto">
                          <a:xfrm>
                            <a:off x="0" y="0"/>
                            <a:ext cx="5399999" cy="251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Growth curve following a Von Bertalanffy model with 95% confidence intervals associated with the CV Linf parameter. The central growth platoon (solid line) and the two secondary ones (dashed lines) used in the model are also displayed.</w:t>
            </w:r>
          </w:p>
          <w:bookmarkEnd w:id="27"/>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1" w:name="fig-repro-1"/>
                <w:p>
                  <w:pPr>
                    <w:pStyle w:val="Figure"/>
                    <w:jc w:val="center"/>
                    <w:jc w:val="center"/>
                  </w:pPr>
                  <w:r>
                    <w:drawing>
                      <wp:inline>
                        <wp:extent cx="2971800" cy="2122714"/>
                        <wp:effectExtent b="0" l="0" r="0" t="0"/>
                        <wp:docPr descr="" title="" id="29" name="Picture"/>
                        <a:graphic>
                          <a:graphicData uri="http://schemas.openxmlformats.org/drawingml/2006/picture">
                            <pic:pic>
                              <pic:nvPicPr>
                                <pic:cNvPr descr="PRZO_65_Base_model_diags_report_files/figure-html/maturity-1.png" id="30" name="Picture"/>
                                <pic:cNvPicPr>
                                  <a:picLocks noChangeArrowheads="1" noChangeAspect="1"/>
                                </pic:cNvPicPr>
                              </pic:nvPicPr>
                              <pic:blipFill>
                                <a:blip r:embed="rId2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3: Maturity at length (FL; left) and fecundity at weight (right) used in the stock assessment model.</w:t>
                  </w:r>
                </w:p>
                <w:bookmarkEnd w:id="31"/>
              </w:tc>
            </w:tr>
          </w:tbl>
          <w:p/>
        </w:tc>
        <w:tc>
          <w:tcPr/>
          <w:tbl>
            <w:tblPr>
              <w:tblStyle w:val="Table"/>
              <w:tblW w:type="pct" w:w="5000"/>
              <w:tblLook w:firstRow="0" w:lastRow="0" w:firstColumn="0" w:lastColumn="0" w:noHBand="0" w:noVBand="0" w:val="0000"/>
            </w:tblPr>
            <w:tblGrid>
              <w:gridCol w:w="7920"/>
            </w:tblGrid>
            <w:tr>
              <w:tc>
                <w:tcPr/>
                <w:bookmarkStart w:id="35" w:name="fig-repro-2"/>
                <w:p>
                  <w:pPr>
                    <w:pStyle w:val="Figure"/>
                    <w:jc w:val="center"/>
                    <w:jc w:val="center"/>
                  </w:pPr>
                  <w:r>
                    <w:drawing>
                      <wp:inline>
                        <wp:extent cx="2971800" cy="2122714"/>
                        <wp:effectExtent b="0" l="0" r="0" t="0"/>
                        <wp:docPr descr="" title="" id="33" name="Picture"/>
                        <a:graphic>
                          <a:graphicData uri="http://schemas.openxmlformats.org/drawingml/2006/picture">
                            <pic:pic>
                              <pic:nvPicPr>
                                <pic:cNvPr descr="PRZO_65_Base_model_diags_report_files/figure-html/maturity-2.png" id="34" name="Picture"/>
                                <pic:cNvPicPr>
                                  <a:picLocks noChangeArrowheads="1" noChangeAspect="1"/>
                                </pic:cNvPicPr>
                              </pic:nvPicPr>
                              <pic:blipFill>
                                <a:blip r:embed="rId3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4: Maturity at length (FL; left) and fecundity at weight (right) used in the stock assessment model.</w:t>
                  </w:r>
                </w:p>
                <w:bookmarkEnd w:id="35"/>
              </w:tc>
            </w:tr>
          </w:tbl>
          <w:p/>
        </w:tc>
      </w:tr>
    </w:tbl>
    <w:tbl>
      <w:tblPr>
        <w:tblStyle w:val="Table"/>
        <w:tblW w:type="pct" w:w="5000"/>
        <w:tblLook w:firstRow="0" w:lastRow="0" w:firstColumn="0" w:lastColumn="0" w:noHBand="0" w:noVBand="0" w:val="0000"/>
      </w:tblPr>
      <w:tblGrid>
        <w:gridCol w:w="7920"/>
      </w:tblGrid>
      <w:tr>
        <w:tc>
          <w:tcPr/>
          <w:bookmarkStart w:id="39" w:name="fig-catch"/>
          <w:p>
            <w:pPr>
              <w:pStyle w:val="Figure"/>
              <w:jc w:val="center"/>
            </w:pPr>
            <w:r>
              <w:drawing>
                <wp:inline>
                  <wp:extent cx="5396399" cy="2487599"/>
                  <wp:effectExtent b="0" l="0" r="0" t="0"/>
                  <wp:docPr descr="" title="" id="37" name="Picture"/>
                  <a:graphic>
                    <a:graphicData uri="http://schemas.openxmlformats.org/drawingml/2006/picture">
                      <pic:pic>
                        <pic:nvPicPr>
                          <pic:cNvPr descr="bootstrap/01_Catch.png" id="38" name="Picture"/>
                          <pic:cNvPicPr>
                            <a:picLocks noChangeArrowheads="1" noChangeAspect="1"/>
                          </pic:cNvPicPr>
                        </pic:nvPicPr>
                        <pic:blipFill>
                          <a:blip r:embed="rId36"/>
                          <a:stretch>
                            <a:fillRect/>
                          </a:stretch>
                        </pic:blipFill>
                        <pic:spPr bwMode="auto">
                          <a:xfrm>
                            <a:off x="0" y="0"/>
                            <a:ext cx="5396399" cy="2487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Annual total catch in metric tons (mt). The vertical dashed line indicates the start of the creel survey program (1986), with older data coming from historical catch reports.</w:t>
            </w:r>
          </w:p>
          <w:bookmarkEnd w:id="39"/>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43" w:name="fig-selectivity-1"/>
                <w:p>
                  <w:pPr>
                    <w:pStyle w:val="Figure"/>
                    <w:jc w:val="center"/>
                    <w:jc w:val="center"/>
                  </w:pPr>
                  <w:r>
                    <w:drawing>
                      <wp:inline>
                        <wp:extent cx="2971800" cy="2122714"/>
                        <wp:effectExtent b="0" l="0" r="0" t="0"/>
                        <wp:docPr descr="" title="" id="41" name="Picture"/>
                        <a:graphic>
                          <a:graphicData uri="http://schemas.openxmlformats.org/drawingml/2006/picture">
                            <pic:pic>
                              <pic:nvPicPr>
                                <pic:cNvPr descr="PRZO_65_Base_model_diags_report_files/figure-html/selectivity-1.png" id="42" name="Picture"/>
                                <pic:cNvPicPr>
                                  <a:picLocks noChangeArrowheads="1" noChangeAspect="1"/>
                                </pic:cNvPicPr>
                              </pic:nvPicPr>
                              <pic:blipFill>
                                <a:blip r:embed="rId40"/>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6: Length-based selectivity estimated by the Stock Synthesis model (left) and the resulting selectivity-at-age for all 3 growth platoons (right).</w:t>
                  </w:r>
                </w:p>
                <w:bookmarkEnd w:id="43"/>
              </w:tc>
            </w:tr>
          </w:tbl>
          <w:p/>
        </w:tc>
        <w:tc>
          <w:tcPr/>
          <w:tbl>
            <w:tblPr>
              <w:tblStyle w:val="Table"/>
              <w:tblW w:type="pct" w:w="5000"/>
              <w:tblLook w:firstRow="0" w:lastRow="0" w:firstColumn="0" w:lastColumn="0" w:noHBand="0" w:noVBand="0" w:val="0000"/>
            </w:tblPr>
            <w:tblGrid>
              <w:gridCol w:w="7920"/>
            </w:tblGrid>
            <w:tr>
              <w:tc>
                <w:tcPr/>
                <w:bookmarkStart w:id="47" w:name="fig-selectivity-2"/>
                <w:p>
                  <w:pPr>
                    <w:pStyle w:val="Figure"/>
                    <w:jc w:val="center"/>
                    <w:jc w:val="center"/>
                  </w:pPr>
                  <w:r>
                    <w:drawing>
                      <wp:inline>
                        <wp:extent cx="2971800" cy="2122714"/>
                        <wp:effectExtent b="0" l="0" r="0" t="0"/>
                        <wp:docPr descr="" title="" id="45" name="Picture"/>
                        <a:graphic>
                          <a:graphicData uri="http://schemas.openxmlformats.org/drawingml/2006/picture">
                            <pic:pic>
                              <pic:nvPicPr>
                                <pic:cNvPr descr="PRZO_65_Base_model_diags_report_files/figure-html/selectivity-2.png" id="46" name="Picture"/>
                                <pic:cNvPicPr>
                                  <a:picLocks noChangeArrowheads="1" noChangeAspect="1"/>
                                </pic:cNvPicPr>
                              </pic:nvPicPr>
                              <pic:blipFill>
                                <a:blip r:embed="rId44"/>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7: Length-based selectivity estimated by the Stock Synthesis model (left) and the resulting selectivity-at-age for all 3 growth platoons (right).</w:t>
                  </w:r>
                </w:p>
                <w:bookmarkEnd w:id="47"/>
              </w:tc>
            </w:tr>
          </w:tbl>
          <w:p/>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51" w:name="fig-jitter-1"/>
                <w:p>
                  <w:pPr>
                    <w:pStyle w:val="Figure"/>
                    <w:jc w:val="center"/>
                    <w:jc w:val="center"/>
                  </w:pPr>
                  <w:r>
                    <w:drawing>
                      <wp:inline>
                        <wp:extent cx="2971800" cy="2122714"/>
                        <wp:effectExtent b="0" l="0" r="0" t="0"/>
                        <wp:docPr descr="" title="" id="49" name="Picture"/>
                        <a:graphic>
                          <a:graphicData uri="http://schemas.openxmlformats.org/drawingml/2006/picture">
                            <pic:pic>
                              <pic:nvPicPr>
                                <pic:cNvPr descr="PRZO_65_Base_model_diags_report_files/figure-html/jitter-1.png" id="50" name="Picture"/>
                                <pic:cNvPicPr>
                                  <a:picLocks noChangeArrowheads="1" noChangeAspect="1"/>
                                </pic:cNvPicPr>
                              </pic:nvPicPr>
                              <pic:blipFill>
                                <a:blip r:embed="rId4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8: Results of jitter analysis where one hundred models were run with randomly varying initial parameter values. Left panel shows the variation in minimum model likelihood value for all 100 model runs. Right panel shows the variation in SSB time series for the 100 different model runs.</w:t>
                  </w:r>
                </w:p>
                <w:bookmarkEnd w:id="51"/>
              </w:tc>
            </w:tr>
          </w:tbl>
          <w:p/>
        </w:tc>
        <w:tc>
          <w:tcPr/>
          <w:tbl>
            <w:tblPr>
              <w:tblStyle w:val="Table"/>
              <w:tblW w:type="pct" w:w="5000"/>
              <w:tblLook w:firstRow="0" w:lastRow="0" w:firstColumn="0" w:lastColumn="0" w:noHBand="0" w:noVBand="0" w:val="0000"/>
            </w:tblPr>
            <w:tblGrid>
              <w:gridCol w:w="7920"/>
            </w:tblGrid>
            <w:tr>
              <w:tc>
                <w:tcPr/>
                <w:bookmarkStart w:id="55" w:name="fig-jitter-2"/>
                <w:p>
                  <w:pPr>
                    <w:pStyle w:val="Figure"/>
                    <w:jc w:val="center"/>
                    <w:jc w:val="center"/>
                  </w:pPr>
                  <w:r>
                    <w:drawing>
                      <wp:inline>
                        <wp:extent cx="2971800" cy="2122714"/>
                        <wp:effectExtent b="0" l="0" r="0" t="0"/>
                        <wp:docPr descr="" title="" id="53" name="Picture"/>
                        <a:graphic>
                          <a:graphicData uri="http://schemas.openxmlformats.org/drawingml/2006/picture">
                            <pic:pic>
                              <pic:nvPicPr>
                                <pic:cNvPr descr="PRZO_65_Base_model_diags_report_files/figure-html/model-comparisons-1.png" id="54" name="Picture"/>
                                <pic:cNvPicPr>
                                  <a:picLocks noChangeArrowheads="1" noChangeAspect="1"/>
                                </pic:cNvPicPr>
                              </pic:nvPicPr>
                              <pic:blipFill>
                                <a:blip r:embed="rId5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9: Results of jitter analysis where one hundred models were run with randomly varying initial parameter values. Left panel shows the variation in minimum model likelihood value for all 100 model runs. Right panel shows the variation in SSB time series for the 100 different model runs.</w:t>
                  </w:r>
                </w:p>
                <w:bookmarkEnd w:id="55"/>
              </w:tc>
            </w:tr>
          </w:tbl>
          <w:p/>
        </w:tc>
      </w:tr>
    </w:tbl>
    <w:tbl>
      <w:tblPr>
        <w:tblStyle w:val="Table"/>
        <w:tblW w:type="pct" w:w="5000"/>
        <w:tblLook w:firstRow="0" w:lastRow="0" w:firstColumn="0" w:lastColumn="0" w:noHBand="0" w:noVBand="0" w:val="0000"/>
      </w:tblPr>
      <w:tblGrid>
        <w:gridCol w:w="7920"/>
      </w:tblGrid>
      <w:tr>
        <w:tc>
          <w:tcPr/>
          <w:bookmarkStart w:id="59" w:name="fig-indexfits"/>
          <w:p>
            <w:pPr>
              <w:pStyle w:val="Figure"/>
              <w:jc w:val="center"/>
            </w:pPr>
            <w:r>
              <w:drawing>
                <wp:inline>
                  <wp:extent cx="3959999" cy="2836799"/>
                  <wp:effectExtent b="0" l="0" r="0" t="0"/>
                  <wp:docPr descr="" title="" id="57" name="Picture"/>
                  <a:graphic>
                    <a:graphicData uri="http://schemas.openxmlformats.org/drawingml/2006/picture">
                      <pic:pic>
                        <pic:nvPicPr>
                          <pic:cNvPr descr="PRZO_65_Base_model_diags_report_files/figure-html/indexfits-1.png" id="58" name="Picture"/>
                          <pic:cNvPicPr>
                            <a:picLocks noChangeArrowheads="1" noChangeAspect="1"/>
                          </pic:cNvPicPr>
                        </pic:nvPicPr>
                        <pic:blipFill>
                          <a:blip r:embed="rId56"/>
                          <a:stretch>
                            <a:fillRect/>
                          </a:stretch>
                        </pic:blipFill>
                        <pic:spPr bwMode="auto">
                          <a:xfrm>
                            <a:off x="0" y="0"/>
                            <a:ext cx="3959999" cy="2836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The root mean square error (RMSE) is 69.70</w:t>
            </w:r>
          </w:p>
          <w:bookmarkEnd w:id="59"/>
        </w:tc>
      </w:tr>
    </w:tbl>
    <w:tbl>
      <w:tblPr>
        <w:tblStyle w:val="Table"/>
        <w:tblW w:type="pct" w:w="5000"/>
        <w:tblLook w:firstRow="0" w:lastRow="0" w:firstColumn="0" w:lastColumn="0" w:noHBand="0" w:noVBand="0" w:val="0000"/>
      </w:tblPr>
      <w:tblGrid>
        <w:gridCol w:w="7920"/>
      </w:tblGrid>
      <w:tr>
        <w:tc>
          <w:tcPr/>
          <w:bookmarkStart w:id="63" w:name="fig-lenfits"/>
          <w:p>
            <w:pPr>
              <w:pStyle w:val="Figure"/>
              <w:jc w:val="center"/>
            </w:pPr>
            <w:r>
              <w:drawing>
                <wp:inline>
                  <wp:extent cx="3959999" cy="2836799"/>
                  <wp:effectExtent b="0" l="0" r="0" t="0"/>
                  <wp:docPr descr="" title="" id="61" name="Picture"/>
                  <a:graphic>
                    <a:graphicData uri="http://schemas.openxmlformats.org/drawingml/2006/picture">
                      <pic:pic>
                        <pic:nvPicPr>
                          <pic:cNvPr descr="PRZO_65_Base_model_diags_report_files/figure-html/lenfits-1.png" id="62" name="Picture"/>
                          <pic:cNvPicPr>
                            <a:picLocks noChangeArrowheads="1" noChangeAspect="1"/>
                          </pic:cNvPicPr>
                        </pic:nvPicPr>
                        <pic:blipFill>
                          <a:blip r:embed="rId60"/>
                          <a:stretch>
                            <a:fillRect/>
                          </a:stretch>
                        </pic:blipFill>
                        <pic:spPr bwMode="auto">
                          <a:xfrm>
                            <a:off x="0" y="0"/>
                            <a:ext cx="3959999" cy="2836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root mean square error (RMSE) is 4.00</w:t>
            </w:r>
          </w:p>
          <w:bookmarkEnd w:id="63"/>
        </w:tc>
      </w:tr>
    </w:tbl>
    <w:tbl>
      <w:tblPr>
        <w:tblStyle w:val="Table"/>
        <w:tblW w:type="pct" w:w="5000"/>
        <w:tblLook w:firstRow="0" w:lastRow="0" w:firstColumn="0" w:lastColumn="0" w:noHBand="0" w:noVBand="0" w:val="0000"/>
      </w:tblPr>
      <w:tblGrid>
        <w:gridCol w:w="7920"/>
      </w:tblGrid>
      <w:tr>
        <w:tc>
          <w:tcPr/>
          <w:bookmarkStart w:id="67" w:name="fig-pearsonresid"/>
          <w:p>
            <w:pPr>
              <w:pStyle w:val="Figure"/>
              <w:jc w:val="center"/>
            </w:pPr>
            <w:r>
              <w:drawing>
                <wp:inline>
                  <wp:extent cx="2735999" cy="2735999"/>
                  <wp:effectExtent b="0" l="0" r="0" t="0"/>
                  <wp:docPr descr="" title="" id="65" name="Picture"/>
                  <a:graphic>
                    <a:graphicData uri="http://schemas.openxmlformats.org/drawingml/2006/picture">
                      <pic:pic>
                        <pic:nvPicPr>
                          <pic:cNvPr descr="plots/comp_lenfit__multi-fleet_comparison.png" id="66" name="Picture"/>
                          <pic:cNvPicPr>
                            <a:picLocks noChangeArrowheads="1" noChangeAspect="1"/>
                          </pic:cNvPicPr>
                        </pic:nvPicPr>
                        <pic:blipFill>
                          <a:blip r:embed="rId64"/>
                          <a:stretch>
                            <a:fillRect/>
                          </a:stretch>
                        </pic:blipFill>
                        <pic:spPr bwMode="auto">
                          <a:xfrm>
                            <a:off x="0" y="0"/>
                            <a:ext cx="2735999" cy="273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Pearson residual plot of observed vs. expected data by size bin and year.</w:t>
            </w:r>
          </w:p>
          <w:bookmarkEnd w:id="67"/>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71" w:name="fig-lencompfits-1"/>
                <w:p>
                  <w:pPr>
                    <w:pStyle w:val="Figure"/>
                    <w:jc w:val="center"/>
                    <w:jc w:val="center"/>
                  </w:pPr>
                  <w:r>
                    <w:drawing>
                      <wp:inline>
                        <wp:extent cx="2971800" cy="2122714"/>
                        <wp:effectExtent b="0" l="0" r="0" t="0"/>
                        <wp:docPr descr="" title="" id="69" name="Picture"/>
                        <a:graphic>
                          <a:graphicData uri="http://schemas.openxmlformats.org/drawingml/2006/picture">
                            <pic:pic>
                              <pic:nvPicPr>
                                <pic:cNvPr descr="PRZO_65_Base_model_diags_report_files/figure-html/lencompfits-2.png" id="70" name="Picture"/>
                                <pic:cNvPicPr>
                                  <a:picLocks noChangeArrowheads="1" noChangeAspect="1"/>
                                </pic:cNvPicPr>
                              </pic:nvPicPr>
                              <pic:blipFill>
                                <a:blip r:embed="rId6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13: Observed (gray area) vs. expected (green line) abundance-at-length from bottomfishing catch by year (left) and overall (right).</w:t>
                  </w:r>
                </w:p>
                <w:bookmarkEnd w:id="71"/>
              </w:tc>
            </w:tr>
          </w:tbl>
          <w:p/>
        </w:tc>
        <w:tc>
          <w:tcPr/>
          <w:tbl>
            <w:tblPr>
              <w:tblStyle w:val="Table"/>
              <w:tblW w:type="pct" w:w="5000"/>
              <w:tblLook w:firstRow="0" w:lastRow="0" w:firstColumn="0" w:lastColumn="0" w:noHBand="0" w:noVBand="0" w:val="0000"/>
            </w:tblPr>
            <w:tblGrid>
              <w:gridCol w:w="7920"/>
            </w:tblGrid>
            <w:tr>
              <w:tc>
                <w:tcPr/>
                <w:bookmarkStart w:id="75" w:name="fig-lencompfits-2"/>
                <w:p>
                  <w:pPr>
                    <w:pStyle w:val="Figure"/>
                    <w:jc w:val="center"/>
                    <w:jc w:val="center"/>
                  </w:pPr>
                  <w:r>
                    <w:drawing>
                      <wp:inline>
                        <wp:extent cx="2971800" cy="2122714"/>
                        <wp:effectExtent b="0" l="0" r="0" t="0"/>
                        <wp:docPr descr="" title="" id="73" name="Picture"/>
                        <a:graphic>
                          <a:graphicData uri="http://schemas.openxmlformats.org/drawingml/2006/picture">
                            <pic:pic>
                              <pic:nvPicPr>
                                <pic:cNvPr descr="PRZO_65_Base_model_diags_report_files/figure-html/lencompfits-1.png" id="74" name="Picture"/>
                                <pic:cNvPicPr>
                                  <a:picLocks noChangeArrowheads="1" noChangeAspect="1"/>
                                </pic:cNvPicPr>
                              </pic:nvPicPr>
                              <pic:blipFill>
                                <a:blip r:embed="rId7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14: Observed (gray area) vs. expected (green line) abundance-at-length from bottomfishing catch by year (left) and overall (right).</w:t>
                  </w:r>
                </w:p>
                <w:bookmarkEnd w:id="75"/>
              </w:tc>
            </w:tr>
          </w:tbl>
          <w:p/>
        </w:tc>
      </w:tr>
    </w:tbl>
    <w:tbl>
      <w:tblPr>
        <w:tblStyle w:val="Table"/>
        <w:tblW w:type="pct" w:w="5000"/>
        <w:tblLook w:firstRow="0" w:lastRow="0" w:firstColumn="0" w:lastColumn="0" w:noHBand="0" w:noVBand="0" w:val="0000"/>
      </w:tblPr>
      <w:tblGrid>
        <w:gridCol w:w="7920"/>
      </w:tblGrid>
      <w:tr>
        <w:tc>
          <w:tcPr/>
          <w:bookmarkStart w:id="79" w:name="fig-r0prof"/>
          <w:p>
            <w:pPr>
              <w:pStyle w:val="Figure"/>
              <w:jc w:val="center"/>
            </w:pPr>
            <w:r>
              <w:drawing>
                <wp:inline>
                  <wp:extent cx="4607999" cy="3291428"/>
                  <wp:effectExtent b="0" l="0" r="0" t="0"/>
                  <wp:docPr descr="" title="" id="77" name="Picture"/>
                  <a:graphic>
                    <a:graphicData uri="http://schemas.openxmlformats.org/drawingml/2006/picture">
                      <pic:pic>
                        <pic:nvPicPr>
                          <pic:cNvPr descr="PRZO_65_Base_model_diags_report_files/figure-html/r0prof-1.png" id="78" name="Picture"/>
                          <pic:cNvPicPr>
                            <a:picLocks noChangeArrowheads="1" noChangeAspect="1"/>
                          </pic:cNvPicPr>
                        </pic:nvPicPr>
                        <pic:blipFill>
                          <a:blip r:embed="rId76"/>
                          <a:stretch>
                            <a:fillRect/>
                          </a:stretch>
                        </pic:blipFill>
                        <pic:spPr bwMode="auto">
                          <a:xfrm>
                            <a:off x="0" y="0"/>
                            <a:ext cx="4607999" cy="3291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Profiles of the negative log-likelihoods relative to the minimum value of each component for the different likelihood components affecting the unfished recruitment parameter (R</w:t>
            </w:r>
            <w:r>
              <w:rPr>
                <w:vertAlign w:val="subscript"/>
              </w:rPr>
              <w:t xml:space="preserve">0</w:t>
            </w:r>
            <w:r>
              <w:t xml:space="preserve">) in log-scale.</w:t>
            </w:r>
          </w:p>
          <w:bookmarkEnd w:id="79"/>
        </w:tc>
      </w:tr>
    </w:tbl>
    <w:tbl>
      <w:tblPr>
        <w:tblStyle w:val="Table"/>
        <w:tblW w:type="pct" w:w="5000"/>
        <w:tblLook w:firstRow="0" w:lastRow="0" w:firstColumn="0" w:lastColumn="0" w:noHBand="0" w:noVBand="0" w:val="0000"/>
      </w:tblPr>
      <w:tblGrid>
        <w:gridCol w:w="7920"/>
      </w:tblGrid>
      <w:tr>
        <w:tc>
          <w:tcPr/>
          <w:bookmarkStart w:id="83" w:name="fig-retro"/>
          <w:p>
            <w:pPr>
              <w:pStyle w:val="Figure"/>
              <w:jc w:val="center"/>
            </w:pPr>
            <w:r>
              <w:drawing>
                <wp:inline>
                  <wp:extent cx="4211999" cy="3008571"/>
                  <wp:effectExtent b="0" l="0" r="0" t="0"/>
                  <wp:docPr descr="" title="" id="81" name="Picture"/>
                  <a:graphic>
                    <a:graphicData uri="http://schemas.openxmlformats.org/drawingml/2006/picture">
                      <pic:pic>
                        <pic:nvPicPr>
                          <pic:cNvPr descr="PRZO_65_Base_model_diags_report_files/figure-html/retrospectives-1.png" id="82" name="Picture"/>
                          <pic:cNvPicPr>
                            <a:picLocks noChangeArrowheads="1" noChangeAspect="1"/>
                          </pic:cNvPicPr>
                        </pic:nvPicPr>
                        <pic:blipFill>
                          <a:blip r:embed="rId80"/>
                          <a:stretch>
                            <a:fillRect/>
                          </a:stretch>
                        </pic:blipFill>
                        <pic:spPr bwMode="auto">
                          <a:xfrm>
                            <a:off x="0" y="0"/>
                            <a:ext cx="4211999" cy="3008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Retrospective analysis of spawning biomass (left) and fishing mortality (right) consisting of 5 reruns of the base case model each fitted with one less year of data from the base case model (blue line).</w:t>
            </w:r>
          </w:p>
          <w:bookmarkEnd w:id="83"/>
        </w:tc>
      </w:tr>
    </w:tbl>
    <w:tbl>
      <w:tblPr>
        <w:tblStyle w:val="Table"/>
        <w:tblW w:type="pct" w:w="5000"/>
        <w:tblLook w:firstRow="0" w:lastRow="0" w:firstColumn="0" w:lastColumn="0" w:noHBand="0" w:noVBand="0" w:val="0000"/>
      </w:tblPr>
      <w:tblGrid>
        <w:gridCol w:w="7920"/>
      </w:tblGrid>
      <w:tr>
        <w:tc>
          <w:tcPr/>
          <w:bookmarkStart w:id="87" w:name="fig-hindcast"/>
          <w:p>
            <w:pPr>
              <w:pStyle w:val="Figure"/>
              <w:jc w:val="center"/>
            </w:pPr>
            <w:r>
              <w:drawing>
                <wp:inline>
                  <wp:extent cx="4211999" cy="3008571"/>
                  <wp:effectExtent b="0" l="0" r="0" t="0"/>
                  <wp:docPr descr="" title="" id="85" name="Picture"/>
                  <a:graphic>
                    <a:graphicData uri="http://schemas.openxmlformats.org/drawingml/2006/picture">
                      <pic:pic>
                        <pic:nvPicPr>
                          <pic:cNvPr descr="PRZO_65_Base_model_diags_report_files/figure-html/hindcast-1.png" id="86" name="Picture"/>
                          <pic:cNvPicPr>
                            <a:picLocks noChangeArrowheads="1" noChangeAspect="1"/>
                          </pic:cNvPicPr>
                        </pic:nvPicPr>
                        <pic:blipFill>
                          <a:blip r:embed="rId84"/>
                          <a:stretch>
                            <a:fillRect/>
                          </a:stretch>
                        </pic:blipFill>
                        <pic:spPr bwMode="auto">
                          <a:xfrm>
                            <a:off x="0" y="0"/>
                            <a:ext cx="4211999" cy="3008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Hindcast for index of abundance and length composition data.</w:t>
            </w:r>
          </w:p>
          <w:bookmarkEnd w:id="87"/>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Time series of spawning biomass (SSB, mt), age-0 recruitment (Rec., 1000s of recruits), and instantaneous fishing mortality (F, yr^-1^) estimated by the Stock Synthesis model. CV is the coefficient of variation.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35"/>
        <w:gridCol w:w="635"/>
        <w:gridCol w:w="635"/>
        <w:gridCol w:w="635"/>
        <w:gridCol w:w="635"/>
        <w:gridCol w:w="635"/>
        <w:gridCol w:w="635"/>
        <w:gridCol w:w="635"/>
        <w:gridCol w:w="635"/>
        <w:gridCol w:w="635"/>
        <w:gridCol w:w="635"/>
        <w:gridCol w:w="635"/>
        <w:gridCol w:w="635"/>
        <w:gridCol w:w="635"/>
      </w:tblGrid>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w:t>
            </w:r>
          </w:p>
        </w:tc>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CV(F)</w:t>
            </w:r>
          </w:p>
        </w:tc>
        <w:tc>
          <w:tcPr>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SSB.2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Rec.2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CV.2(F)</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0.003</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0.688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1.691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0.68</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1.895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1.167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0.84</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0.825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r>
      <w:tr>
        <w:trPr>
          <w:trHeight w:val="360" w:hRule="auto"/>
        </w:trPr>
        body27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0.193</w:t>
            </w:r>
          </w:p>
        </w:tc>
        <w:tc>
          <w:tcPr>
            <w:tcBorders>
              <w:bottom w:val="single" w:sz="8"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0.93</w:t>
            </w:r>
          </w:p>
        </w:tc>
        <w:tc>
          <w:tcPr>
            <w:tcBorders>
              <w:bottom w:val="single" w:sz="8"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bl>
    <w:tbl>
      <w:tblPr>
        <w:tblStyle w:val="Table"/>
        <w:tblW w:type="pct" w:w="5000"/>
        <w:tblLook w:firstRow="0" w:lastRow="0" w:firstColumn="0" w:lastColumn="0" w:noHBand="0" w:noVBand="0" w:val="0000"/>
      </w:tblPr>
      <w:tblGrid>
        <w:gridCol w:w="7920"/>
      </w:tblGrid>
      <w:tr>
        <w:tc>
          <w:tcPr/>
          <w:bookmarkStart w:id="91" w:name="fig-timeseries"/>
          <w:p>
            <w:pPr>
              <w:pStyle w:val="Figure"/>
              <w:jc w:val="center"/>
            </w:pPr>
            <w:r>
              <w:drawing>
                <wp:inline>
                  <wp:extent cx="5039999" cy="3599999"/>
                  <wp:effectExtent b="0" l="0" r="0" t="0"/>
                  <wp:docPr descr="" title="" id="89" name="Picture"/>
                  <a:graphic>
                    <a:graphicData uri="http://schemas.openxmlformats.org/drawingml/2006/picture">
                      <pic:pic>
                        <pic:nvPicPr>
                          <pic:cNvPr descr="bootstrap/03_Quants.png" id="90" name="Picture"/>
                          <pic:cNvPicPr>
                            <a:picLocks noChangeArrowheads="1" noChangeAspect="1"/>
                          </pic:cNvPicPr>
                        </pic:nvPicPr>
                        <pic:blipFill>
                          <a:blip r:embed="rId88"/>
                          <a:stretch>
                            <a:fillRect/>
                          </a:stretch>
                        </pic:blipFill>
                        <pic:spPr bwMode="auto">
                          <a:xfrm>
                            <a:off x="0" y="0"/>
                            <a:ext cx="5039999" cy="359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Time series of spawning biomass (solid line) with its 95% confidence interval and SSB</w:t>
            </w:r>
            <w:r>
              <w:rPr>
                <w:vertAlign w:val="subscript"/>
              </w:rPr>
              <w:t xml:space="preserve">0</w:t>
            </w:r>
            <w:r>
              <w:t xml:space="preserve"> </w:t>
            </w:r>
            <w:r>
              <w:t xml:space="preserve">estimate (red dot; top panel). The dot-and-dash blue line shows the spawning biomass at the MSST reference point (SSB</w:t>
            </w:r>
            <w:r>
              <w:rPr>
                <w:vertAlign w:val="subscript"/>
              </w:rPr>
              <w:t xml:space="preserve">MSST</w:t>
            </w:r>
            <w:r>
              <w:t xml:space="preserve">). Time series of fishing mortality rate with its 95% confidence intervals (bottom panel).</w:t>
            </w:r>
          </w:p>
          <w:bookmarkEnd w:id="91"/>
        </w:tc>
      </w:tr>
    </w:tbl>
    <w:tbl>
      <w:tblPr>
        <w:tblStyle w:val="Table"/>
        <w:tblW w:type="pct" w:w="5000"/>
        <w:tblLook w:firstRow="0" w:lastRow="0" w:firstColumn="0" w:lastColumn="0" w:noHBand="0" w:noVBand="0" w:val="0000"/>
      </w:tblPr>
      <w:tblGrid>
        <w:gridCol w:w="7920"/>
      </w:tblGrid>
      <w:tr>
        <w:tc>
          <w:tcPr/>
          <w:bookmarkStart w:id="95" w:name="fig-sr"/>
          <w:p>
            <w:pPr>
              <w:pStyle w:val="Figure"/>
              <w:jc w:val="center"/>
            </w:pPr>
            <w:r>
              <w:drawing>
                <wp:inline>
                  <wp:extent cx="5039999" cy="2518475"/>
                  <wp:effectExtent b="0" l="0" r="0" t="0"/>
                  <wp:docPr descr="" title="" id="93" name="Picture"/>
                  <a:graphic>
                    <a:graphicData uri="http://schemas.openxmlformats.org/drawingml/2006/picture">
                      <pic:pic>
                        <pic:nvPicPr>
                          <pic:cNvPr descr="bootstrap/04_SR.png" id="94" name="Picture"/>
                          <pic:cNvPicPr>
                            <a:picLocks noChangeArrowheads="1" noChangeAspect="1"/>
                          </pic:cNvPicPr>
                        </pic:nvPicPr>
                        <pic:blipFill>
                          <a:blip r:embed="rId92"/>
                          <a:stretch>
                            <a:fillRect/>
                          </a:stretch>
                        </pic:blipFill>
                        <pic:spPr bwMode="auto">
                          <a:xfrm>
                            <a:off x="0" y="0"/>
                            <a:ext cx="5039999" cy="25184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19: Expected recruitment from the stock-recruitment relationship (black line) and estimated annual recruitment (dots) from Stock Synthesis. Estimated virgin SSB and recruitment is indicated with a red diamond.</w:t>
            </w:r>
          </w:p>
          <w:bookmarkEnd w:id="95"/>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Estimated biological reference points with 95% confidence interval (SD) derived from the Stock Synthesis base-case model where F is the instantaneous annual fishing mortality rate, SPR is spawning potential ratio, SSB is spawning stock biomass, MSST indicates minimum stock size threshold, and MSY indicates maximum sustainable yield.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06"/>
        <w:gridCol w:w="2465"/>
      </w:tblGrid>
      <w:tr>
        <w:trPr>
          <w:trHeight w:val="348"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Reference point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w:t>
            </w:r>
          </w:p>
        </w:tc>
      </w:tr>
      <w:tr>
        <w:trPr>
          <w:trHeight w:val="35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0.192 (0.177 - 0.209)</w:t>
            </w:r>
          </w:p>
        </w:tc>
      </w:tr>
      <w:tr>
        <w:trPr>
          <w:trHeight w:val="35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 (0.001 - 0.003)</w:t>
            </w:r>
          </w:p>
        </w:tc>
      </w:tr>
      <w:tr>
        <w:trPr>
          <w:trHeight w:val="35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 (0.004 - 0.013)</w:t>
            </w:r>
          </w:p>
        </w:tc>
      </w:tr>
      <w:tr>
        <w:trPr>
          <w:trHeight w:val="35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 (0.29 - 1.29)</w:t>
            </w:r>
          </w:p>
        </w:tc>
      </w:tr>
      <w:tr>
        <w:trPr>
          <w:trHeight w:val="35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 (1.45 - 2.61)</w:t>
            </w:r>
          </w:p>
        </w:tc>
      </w:tr>
      <w:tr>
        <w:trPr>
          <w:trHeight w:val="35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3.28 (2.97 - 3.53)</w:t>
            </w:r>
          </w:p>
        </w:tc>
      </w:tr>
      <w:tr>
        <w:trPr>
          <w:trHeight w:val="35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MSY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 (0.36 - 0.37)</w:t>
            </w:r>
          </w:p>
        </w:tc>
      </w:tr>
      <w:tr>
        <w:trPr>
          <w:trHeight w:val="35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2019-2021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 (0.01 - 0.07)</w:t>
            </w:r>
          </w:p>
        </w:tc>
      </w:tr>
      <w:tr>
        <w:trPr>
          <w:trHeight w:val="35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 (0.35 - 0.36)</w:t>
            </w:r>
          </w:p>
        </w:tc>
      </w:tr>
      <w:tr>
        <w:trPr>
          <w:trHeight w:val="35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 (0.99 - 0.99)</w:t>
            </w:r>
          </w:p>
        </w:tc>
      </w:tr>
    </w:tbl>
    <w:tbl>
      <w:tblPr>
        <w:tblStyle w:val="Table"/>
        <w:tblW w:type="pct" w:w="5000"/>
        <w:tblLook w:firstRow="0" w:lastRow="0" w:firstColumn="0" w:lastColumn="0" w:noHBand="0" w:noVBand="0" w:val="0000"/>
      </w:tblPr>
      <w:tblGrid>
        <w:gridCol w:w="7920"/>
      </w:tblGrid>
      <w:tr>
        <w:tc>
          <w:tcPr/>
          <w:bookmarkStart w:id="99" w:name="fig-kobe"/>
          <w:p>
            <w:pPr>
              <w:pStyle w:val="Figure"/>
              <w:jc w:val="center"/>
            </w:pPr>
            <w:r>
              <w:drawing>
                <wp:inline>
                  <wp:extent cx="5039999" cy="3600871"/>
                  <wp:effectExtent b="0" l="0" r="0" t="0"/>
                  <wp:docPr descr="" title="" id="97" name="Picture"/>
                  <a:graphic>
                    <a:graphicData uri="http://schemas.openxmlformats.org/drawingml/2006/picture">
                      <pic:pic>
                        <pic:nvPicPr>
                          <pic:cNvPr descr="bootstrap/05_Kobe.png" id="98" name="Picture"/>
                          <pic:cNvPicPr>
                            <a:picLocks noChangeArrowheads="1" noChangeAspect="1"/>
                          </pic:cNvPicPr>
                        </pic:nvPicPr>
                        <pic:blipFill>
                          <a:blip r:embed="rId96"/>
                          <a:stretch>
                            <a:fillRect/>
                          </a:stretch>
                        </pic:blipFill>
                        <pic:spPr bwMode="auto">
                          <a:xfrm>
                            <a:off x="0" y="0"/>
                            <a:ext cx="5039999" cy="36008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20: Kobe plot representing the trend in relative fishing mortality and spawning stock biomass between 1969 and 2021 with their associated biological reference areas (red: overfished and overfishing, yellow: overfishing or overfished, green: no overfishing and not overfished). The large red dot indicates median stock status in 2021 and the black dots are one thousand Monte Carlo draws from the stock status distribution to represent the uncertainty around the final year status.</w:t>
            </w:r>
          </w:p>
          <w:bookmarkEnd w:id="99"/>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Summary table of key model output for all sensitivity model runs.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MSST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MSsT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Base case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Steep.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Steep.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Rec. Dev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 hist. catch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Alternate LH</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w:t>
            </w:r>
          </w:p>
        </w:tc>
      </w:tr>
    </w:tbl>
    <w:p>
      <w:pPr>
        <w:pStyle w:val="BodyText"/>
      </w:pPr>
    </w:p>
    <w:tbl>
      <w:tblPr>
        <w:tblStyle w:val="Table"/>
        <w:tblW w:type="pct" w:w="5000"/>
        <w:tblLook w:firstRow="0" w:lastRow="0" w:firstColumn="0" w:lastColumn="0" w:noHBand="0" w:noVBand="0" w:val="0000"/>
      </w:tblPr>
      <w:tblGrid>
        <w:gridCol w:w="7920"/>
      </w:tblGrid>
      <w:tr>
        <w:tc>
          <w:tcPr/>
          <w:bookmarkStart w:id="103" w:name="fig-altmods-1"/>
          <w:p>
            <w:pPr>
              <w:pStyle w:val="Figure"/>
              <w:jc w:val="center"/>
            </w:pPr>
            <w:r>
              <w:drawing>
                <wp:inline>
                  <wp:extent cx="5939999" cy="3712499"/>
                  <wp:effectExtent b="0" l="0" r="0" t="0"/>
                  <wp:docPr descr="" title="" id="101" name="Picture"/>
                  <a:graphic>
                    <a:graphicData uri="http://schemas.openxmlformats.org/drawingml/2006/picture">
                      <pic:pic>
                        <pic:nvPicPr>
                          <pic:cNvPr descr="../../../SS3%20final%20models/PRZO/00_Alternate_Mods_Figs_Tables/Sensitivity1.png" id="102" name="Picture"/>
                          <pic:cNvPicPr>
                            <a:picLocks noChangeArrowheads="1" noChangeAspect="1"/>
                          </pic:cNvPicPr>
                        </pic:nvPicPr>
                        <pic:blipFill>
                          <a:blip r:embed="rId100"/>
                          <a:stretch>
                            <a:fillRect/>
                          </a:stretch>
                        </pic:blipFill>
                        <pic:spPr bwMode="auto">
                          <a:xfrm>
                            <a:off x="0" y="0"/>
                            <a:ext cx="5939999" cy="3712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Sensitivity analyses showing differences in spawning biomass, fishing mortality, recruitment, and final year stock status (Kobe plot) under moderate life history parameter variation (plus and minus 10% of base parameter values).</w:t>
            </w:r>
          </w:p>
          <w:bookmarkEnd w:id="103"/>
        </w:tc>
      </w:tr>
    </w:tbl>
    <w:tbl>
      <w:tblPr>
        <w:tblStyle w:val="Table"/>
        <w:tblW w:type="pct" w:w="5000"/>
        <w:tblLook w:firstRow="0" w:lastRow="0" w:firstColumn="0" w:lastColumn="0" w:noHBand="0" w:noVBand="0" w:val="0000"/>
      </w:tblPr>
      <w:tblGrid>
        <w:gridCol w:w="7920"/>
      </w:tblGrid>
      <w:tr>
        <w:tc>
          <w:tcPr/>
          <w:bookmarkStart w:id="107" w:name="fig-altmods-2"/>
          <w:p>
            <w:pPr>
              <w:pStyle w:val="Figure"/>
              <w:jc w:val="center"/>
            </w:pPr>
            <w:r>
              <w:drawing>
                <wp:inline>
                  <wp:extent cx="5939999" cy="3712499"/>
                  <wp:effectExtent b="0" l="0" r="0" t="0"/>
                  <wp:docPr descr="" title="" id="105" name="Picture"/>
                  <a:graphic>
                    <a:graphicData uri="http://schemas.openxmlformats.org/drawingml/2006/picture">
                      <pic:pic>
                        <pic:nvPicPr>
                          <pic:cNvPr descr="../../../SS3%20final%20models/PRZO/00_Alternate_Mods_Figs_Tables/Sensitivity2.png" id="106" name="Picture"/>
                          <pic:cNvPicPr>
                            <a:picLocks noChangeArrowheads="1" noChangeAspect="1"/>
                          </pic:cNvPicPr>
                        </pic:nvPicPr>
                        <pic:blipFill>
                          <a:blip r:embed="rId104"/>
                          <a:stretch>
                            <a:fillRect/>
                          </a:stretch>
                        </pic:blipFill>
                        <pic:spPr bwMode="auto">
                          <a:xfrm>
                            <a:off x="0" y="0"/>
                            <a:ext cx="5939999" cy="3712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Sensitivity analyses showing differences in spawning biomass, fishing mortality, recruitment, and final year stock status (Kobe plot) under b) an alternate life history parameter source (Lmat from StepwiseLH), c) with recruitment deviations, and d) without historical catch data (model starts in 1986).</w:t>
            </w:r>
          </w:p>
          <w:bookmarkEnd w:id="107"/>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The annual fixed catch values (metric tons) applied from 2024 to a final projection year resulting in a given probability of overfishing (F/FMSY&gt;1) in that final year. Catches for years prior to the start of the new catch guidance (2022 and 2023) were fixed at the mean of the last 3 years of catch data (2019 to 2021).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811"/>
        <w:gridCol w:w="811"/>
        <w:gridCol w:w="811"/>
        <w:gridCol w:w="811"/>
        <w:gridCol w:w="811"/>
      </w:tblGrid>
      <w:tr>
        <w:trPr>
          <w:trHeight w:val="313"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5"/>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Fixed catch (mt) from 2024 to:</w:t>
            </w:r>
          </w:p>
        </w:tc>
      </w:tr>
      <w:tr>
        <w:trPr>
          <w:trHeight w:val="313"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of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&gt;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2028</w:t>
            </w:r>
          </w:p>
        </w:tc>
      </w:tr>
      <w:tr>
        <w:trPr>
          <w:trHeight w:val="27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r>
      <w:tr>
        <w:trPr>
          <w:trHeight w:val="27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r>
      <w:tr>
        <w:trPr>
          <w:trHeight w:val="27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r>
      <w:tr>
        <w:trPr>
          <w:trHeight w:val="2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r>
      <w:tr>
        <w:trPr>
          <w:trHeight w:val="27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r>
      <w:tr>
        <w:trPr>
          <w:trHeight w:val="27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r>
      <w:tr>
        <w:trPr>
          <w:trHeight w:val="27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r>
      <w:tr>
        <w:trPr>
          <w:trHeight w:val="27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r>
      <w:tr>
        <w:trPr>
          <w:trHeight w:val="27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r>
      <w:tr>
        <w:trPr>
          <w:trHeight w:val="27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w:t>
            </w:r>
          </w:p>
        </w:tc>
      </w:tr>
      <w:tr>
        <w:trPr>
          <w:trHeight w:val="27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w:t>
            </w:r>
          </w:p>
        </w:tc>
      </w:tr>
      <w:tr>
        <w:trPr>
          <w:trHeight w:val="27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w:t>
            </w:r>
          </w:p>
        </w:tc>
      </w:tr>
      <w:tr>
        <w:trPr>
          <w:trHeight w:val="27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r>
      <w:tr>
        <w:trPr>
          <w:trHeight w:val="27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r>
      <w:tr>
        <w:trPr>
          <w:trHeight w:val="27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r>
      <w:tr>
        <w:trPr>
          <w:trHeight w:val="27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w:t>
            </w:r>
          </w:p>
        </w:tc>
      </w:tr>
      <w:tr>
        <w:trPr>
          <w:trHeight w:val="27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w:t>
            </w:r>
          </w:p>
        </w:tc>
      </w:tr>
      <w:tr>
        <w:trPr>
          <w:trHeight w:val="27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w:t>
            </w:r>
          </w:p>
        </w:tc>
      </w:tr>
      <w:tr>
        <w:trPr>
          <w:trHeight w:val="27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w:t>
            </w:r>
          </w:p>
        </w:tc>
      </w:tr>
      <w:tr>
        <w:trPr>
          <w:trHeight w:val="27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w:t>
            </w:r>
          </w:p>
        </w:tc>
      </w:tr>
      <w:tr>
        <w:trPr>
          <w:trHeight w:val="27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w:t>
            </w:r>
          </w:p>
        </w:tc>
      </w:tr>
      <w:tr>
        <w:trPr>
          <w:trHeight w:val="27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0.57</w:t>
            </w:r>
          </w:p>
        </w:tc>
      </w:tr>
      <w:tr>
        <w:trPr>
          <w:trHeight w:val="27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0.57</w:t>
            </w:r>
          </w:p>
        </w:tc>
      </w:tr>
      <w:tr>
        <w:trPr>
          <w:trHeight w:val="27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0.57</w:t>
            </w:r>
          </w:p>
        </w:tc>
      </w:tr>
      <w:tr>
        <w:trPr>
          <w:trHeight w:val="27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w:t>
            </w:r>
          </w:p>
        </w:tc>
      </w:tr>
      <w:tr>
        <w:trPr>
          <w:trHeight w:val="27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w:t>
            </w:r>
          </w:p>
        </w:tc>
      </w:tr>
      <w:tr>
        <w:trPr>
          <w:trHeight w:val="27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w:t>
            </w:r>
          </w:p>
        </w:tc>
      </w:tr>
      <w:tr>
        <w:trPr>
          <w:trHeight w:val="27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w:t>
            </w:r>
          </w:p>
        </w:tc>
      </w:tr>
      <w:tr>
        <w:trPr>
          <w:trHeight w:val="27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w:t>
            </w:r>
          </w:p>
        </w:tc>
      </w:tr>
      <w:tr>
        <w:trPr>
          <w:trHeight w:val="27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0.54</w:t>
            </w:r>
          </w:p>
        </w:tc>
      </w:tr>
      <w:tr>
        <w:trPr>
          <w:trHeight w:val="27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0.54</w:t>
            </w:r>
          </w:p>
        </w:tc>
      </w:tr>
      <w:tr>
        <w:trPr>
          <w:trHeight w:val="27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0.54</w:t>
            </w:r>
          </w:p>
        </w:tc>
      </w:tr>
      <w:tr>
        <w:trPr>
          <w:trHeight w:val="27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0.53</w:t>
            </w:r>
          </w:p>
        </w:tc>
      </w:tr>
      <w:tr>
        <w:trPr>
          <w:trHeight w:val="27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0.53</w:t>
            </w:r>
          </w:p>
        </w:tc>
      </w:tr>
      <w:tr>
        <w:trPr>
          <w:trHeight w:val="27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0.52</w:t>
            </w:r>
          </w:p>
        </w:tc>
      </w:tr>
      <w:tr>
        <w:trPr>
          <w:trHeight w:val="27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0.52</w:t>
            </w:r>
          </w:p>
        </w:tc>
      </w:tr>
      <w:tr>
        <w:trPr>
          <w:trHeight w:val="27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w:t>
            </w:r>
          </w:p>
        </w:tc>
      </w:tr>
      <w:tr>
        <w:trPr>
          <w:trHeight w:val="27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w:t>
            </w:r>
          </w:p>
        </w:tc>
      </w:tr>
      <w:tr>
        <w:trPr>
          <w:trHeight w:val="27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w:t>
            </w:r>
          </w:p>
        </w:tc>
      </w:tr>
      <w:tr>
        <w:trPr>
          <w:trHeight w:val="27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w:t>
            </w:r>
          </w:p>
        </w:tc>
      </w:tr>
      <w:tr>
        <w:trPr>
          <w:trHeight w:val="276" w:hRule="auto"/>
        </w:trPr>
        body41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r>
    </w:tbl>
    <w:p>
      <w:r>
        <w:br w:type="page"/>
      </w:r>
    </w:p>
    <w:tbl>
      <w:tblPr>
        <w:tblStyle w:val="Table"/>
        <w:tblW w:type="pct" w:w="5000"/>
        <w:tblLook w:firstRow="0" w:lastRow="0" w:firstColumn="0" w:lastColumn="0" w:noHBand="0" w:noVBand="0" w:val="0000"/>
      </w:tblPr>
      <w:tblGrid>
        <w:gridCol w:w="7920"/>
      </w:tblGrid>
      <w:tr>
        <w:tc>
          <w:tcPr/>
          <w:bookmarkStart w:id="111" w:name="fig-medproj"/>
          <w:p>
            <w:pPr>
              <w:pStyle w:val="Figure"/>
              <w:jc w:val="center"/>
            </w:pPr>
            <w:r>
              <w:drawing>
                <wp:inline>
                  <wp:extent cx="5776928" cy="2886935"/>
                  <wp:effectExtent b="0" l="0" r="0" t="0"/>
                  <wp:docPr descr="" title="" id="109" name="Picture"/>
                  <a:graphic>
                    <a:graphicData uri="http://schemas.openxmlformats.org/drawingml/2006/picture">
                      <pic:pic>
                        <pic:nvPicPr>
                          <pic:cNvPr descr="forecast/01_Proj_MedianStatus.png" id="110" name="Picture"/>
                          <pic:cNvPicPr>
                            <a:picLocks noChangeArrowheads="1" noChangeAspect="1"/>
                          </pic:cNvPicPr>
                        </pic:nvPicPr>
                        <pic:blipFill>
                          <a:blip r:embed="rId108"/>
                          <a:stretch>
                            <a:fillRect/>
                          </a:stretch>
                        </pic:blipFill>
                        <pic:spPr bwMode="auto">
                          <a:xfrm>
                            <a:off x="0" y="0"/>
                            <a:ext cx="5776928" cy="28869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Median stock status for a range of catch values (metric tons) fixed for a given range of years. The stock status is for the final projected year.</w:t>
            </w:r>
          </w:p>
          <w:bookmarkEnd w:id="111"/>
        </w:tc>
      </w:tr>
    </w:tbl>
    <w:tbl>
      <w:tblPr>
        <w:tblStyle w:val="Table"/>
        <w:tblW w:type="pct" w:w="5000"/>
        <w:tblLook w:firstRow="0" w:lastRow="0" w:firstColumn="0" w:lastColumn="0" w:noHBand="0" w:noVBand="0" w:val="0000"/>
      </w:tblPr>
      <w:tblGrid>
        <w:gridCol w:w="7920"/>
      </w:tblGrid>
      <w:tr>
        <w:tc>
          <w:tcPr/>
          <w:bookmarkStart w:id="115" w:name="fig-projstatus"/>
          <w:p>
            <w:pPr>
              <w:pStyle w:val="Figure"/>
              <w:jc w:val="center"/>
            </w:pPr>
            <w:r>
              <w:drawing>
                <wp:inline>
                  <wp:extent cx="5776928" cy="2886935"/>
                  <wp:effectExtent b="0" l="0" r="0" t="0"/>
                  <wp:docPr descr="" title="" id="113" name="Picture"/>
                  <a:graphic>
                    <a:graphicData uri="http://schemas.openxmlformats.org/drawingml/2006/picture">
                      <pic:pic>
                        <pic:nvPicPr>
                          <pic:cNvPr descr="forecast/02_Proj_ProbStatus.png" id="114" name="Picture"/>
                          <pic:cNvPicPr>
                            <a:picLocks noChangeArrowheads="1" noChangeAspect="1"/>
                          </pic:cNvPicPr>
                        </pic:nvPicPr>
                        <pic:blipFill>
                          <a:blip r:embed="rId112"/>
                          <a:stretch>
                            <a:fillRect/>
                          </a:stretch>
                        </pic:blipFill>
                        <pic:spPr bwMode="auto">
                          <a:xfrm>
                            <a:off x="0" y="0"/>
                            <a:ext cx="5776928" cy="28869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Probability of overfishing (left panel) and of stock being overfished (right panel) for a range of catch values (metric tons) fixed for a given range of years starting in 2024. The stock status probabilities are for the final projection year.</w:t>
            </w:r>
          </w:p>
          <w:bookmarkEnd w:id="115"/>
        </w:tc>
      </w:tr>
    </w:tbl>
    <w:sectPr w:rsidR="00EC197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6108E82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E0453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ABC674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9BC5EB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D3C515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9AE05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9F22F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B7A47C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CDC7B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2CE6C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806F09"/>
    <w:multiLevelType w:val="hybridMultilevel"/>
    <w:tmpl w:val="161CB600"/>
    <w:lvl w:ilvl="0" w:tplc="04090001">
      <w:start w:val="1"/>
      <w:numFmt w:val="bullet"/>
      <w:lvlText w:val=""/>
      <w:lvlJc w:val="left"/>
      <w:pPr>
        <w:ind w:hanging="360" w:left="787"/>
      </w:pPr>
      <w:rPr>
        <w:rFonts w:ascii="Symbol" w:hAnsi="Symbol" w:hint="default"/>
      </w:rPr>
    </w:lvl>
    <w:lvl w:ilvl="1" w:tentative="1" w:tplc="04090003">
      <w:start w:val="1"/>
      <w:numFmt w:val="bullet"/>
      <w:lvlText w:val="o"/>
      <w:lvlJc w:val="left"/>
      <w:pPr>
        <w:ind w:hanging="360" w:left="1507"/>
      </w:pPr>
      <w:rPr>
        <w:rFonts w:ascii="Courier New" w:cs="Courier New" w:hAnsi="Courier New" w:hint="default"/>
      </w:rPr>
    </w:lvl>
    <w:lvl w:ilvl="2" w:tentative="1" w:tplc="04090005">
      <w:start w:val="1"/>
      <w:numFmt w:val="bullet"/>
      <w:lvlText w:val=""/>
      <w:lvlJc w:val="left"/>
      <w:pPr>
        <w:ind w:hanging="360" w:left="2227"/>
      </w:pPr>
      <w:rPr>
        <w:rFonts w:ascii="Wingdings" w:hAnsi="Wingdings" w:hint="default"/>
      </w:rPr>
    </w:lvl>
    <w:lvl w:ilvl="3" w:tentative="1" w:tplc="04090001">
      <w:start w:val="1"/>
      <w:numFmt w:val="bullet"/>
      <w:lvlText w:val=""/>
      <w:lvlJc w:val="left"/>
      <w:pPr>
        <w:ind w:hanging="360" w:left="2947"/>
      </w:pPr>
      <w:rPr>
        <w:rFonts w:ascii="Symbol" w:hAnsi="Symbol" w:hint="default"/>
      </w:rPr>
    </w:lvl>
    <w:lvl w:ilvl="4" w:tentative="1" w:tplc="04090003">
      <w:start w:val="1"/>
      <w:numFmt w:val="bullet"/>
      <w:lvlText w:val="o"/>
      <w:lvlJc w:val="left"/>
      <w:pPr>
        <w:ind w:hanging="360" w:left="3667"/>
      </w:pPr>
      <w:rPr>
        <w:rFonts w:ascii="Courier New" w:cs="Courier New" w:hAnsi="Courier New" w:hint="default"/>
      </w:rPr>
    </w:lvl>
    <w:lvl w:ilvl="5" w:tentative="1" w:tplc="04090005">
      <w:start w:val="1"/>
      <w:numFmt w:val="bullet"/>
      <w:lvlText w:val=""/>
      <w:lvlJc w:val="left"/>
      <w:pPr>
        <w:ind w:hanging="360" w:left="4387"/>
      </w:pPr>
      <w:rPr>
        <w:rFonts w:ascii="Wingdings" w:hAnsi="Wingdings" w:hint="default"/>
      </w:rPr>
    </w:lvl>
    <w:lvl w:ilvl="6" w:tentative="1" w:tplc="04090001">
      <w:start w:val="1"/>
      <w:numFmt w:val="bullet"/>
      <w:lvlText w:val=""/>
      <w:lvlJc w:val="left"/>
      <w:pPr>
        <w:ind w:hanging="360" w:left="5107"/>
      </w:pPr>
      <w:rPr>
        <w:rFonts w:ascii="Symbol" w:hAnsi="Symbol" w:hint="default"/>
      </w:rPr>
    </w:lvl>
    <w:lvl w:ilvl="7" w:tentative="1" w:tplc="04090003">
      <w:start w:val="1"/>
      <w:numFmt w:val="bullet"/>
      <w:lvlText w:val="o"/>
      <w:lvlJc w:val="left"/>
      <w:pPr>
        <w:ind w:hanging="360" w:left="5827"/>
      </w:pPr>
      <w:rPr>
        <w:rFonts w:ascii="Courier New" w:cs="Courier New" w:hAnsi="Courier New" w:hint="default"/>
      </w:rPr>
    </w:lvl>
    <w:lvl w:ilvl="8" w:tentative="1" w:tplc="04090005">
      <w:start w:val="1"/>
      <w:numFmt w:val="bullet"/>
      <w:lvlText w:val=""/>
      <w:lvlJc w:val="left"/>
      <w:pPr>
        <w:ind w:hanging="360" w:left="6547"/>
      </w:pPr>
      <w:rPr>
        <w:rFonts w:ascii="Wingdings" w:hAnsi="Wingdings" w:hint="default"/>
      </w:rPr>
    </w:lvl>
  </w:abstractNum>
  <w:abstractNum w15:restartNumberingAfterBreak="0" w:abstractNumId="11">
    <w:nsid w:val="102C1C0B"/>
    <w:multiLevelType w:val="hybridMultilevel"/>
    <w:tmpl w:val="E2B24B54"/>
    <w:lvl w:ilvl="0" w:tplc="F1560324">
      <w:numFmt w:val="bullet"/>
      <w:lvlText w:val="-"/>
      <w:lvlJc w:val="left"/>
      <w:pPr>
        <w:ind w:hanging="360" w:left="420"/>
      </w:pPr>
      <w:rPr>
        <w:rFonts w:ascii="Times New Roman" w:cs="Times New Roman" w:eastAsia="Calibri" w:hAnsi="Times New Roman" w:hint="default"/>
      </w:rPr>
    </w:lvl>
    <w:lvl w:ilvl="1" w:tentative="1" w:tplc="04090003">
      <w:start w:val="1"/>
      <w:numFmt w:val="bullet"/>
      <w:lvlText w:val="o"/>
      <w:lvlJc w:val="left"/>
      <w:pPr>
        <w:ind w:hanging="360" w:left="1140"/>
      </w:pPr>
      <w:rPr>
        <w:rFonts w:ascii="Courier New" w:cs="Courier New" w:hAnsi="Courier New" w:hint="default"/>
      </w:rPr>
    </w:lvl>
    <w:lvl w:ilvl="2" w:tentative="1" w:tplc="04090005">
      <w:start w:val="1"/>
      <w:numFmt w:val="bullet"/>
      <w:lvlText w:val=""/>
      <w:lvlJc w:val="left"/>
      <w:pPr>
        <w:ind w:hanging="360" w:left="1860"/>
      </w:pPr>
      <w:rPr>
        <w:rFonts w:ascii="Wingdings" w:hAnsi="Wingdings" w:hint="default"/>
      </w:rPr>
    </w:lvl>
    <w:lvl w:ilvl="3" w:tentative="1" w:tplc="04090001">
      <w:start w:val="1"/>
      <w:numFmt w:val="bullet"/>
      <w:lvlText w:val=""/>
      <w:lvlJc w:val="left"/>
      <w:pPr>
        <w:ind w:hanging="360" w:left="2580"/>
      </w:pPr>
      <w:rPr>
        <w:rFonts w:ascii="Symbol" w:hAnsi="Symbol" w:hint="default"/>
      </w:rPr>
    </w:lvl>
    <w:lvl w:ilvl="4" w:tentative="1" w:tplc="04090003">
      <w:start w:val="1"/>
      <w:numFmt w:val="bullet"/>
      <w:lvlText w:val="o"/>
      <w:lvlJc w:val="left"/>
      <w:pPr>
        <w:ind w:hanging="360" w:left="3300"/>
      </w:pPr>
      <w:rPr>
        <w:rFonts w:ascii="Courier New" w:cs="Courier New" w:hAnsi="Courier New" w:hint="default"/>
      </w:rPr>
    </w:lvl>
    <w:lvl w:ilvl="5" w:tentative="1" w:tplc="04090005">
      <w:start w:val="1"/>
      <w:numFmt w:val="bullet"/>
      <w:lvlText w:val=""/>
      <w:lvlJc w:val="left"/>
      <w:pPr>
        <w:ind w:hanging="360" w:left="4020"/>
      </w:pPr>
      <w:rPr>
        <w:rFonts w:ascii="Wingdings" w:hAnsi="Wingdings" w:hint="default"/>
      </w:rPr>
    </w:lvl>
    <w:lvl w:ilvl="6" w:tentative="1" w:tplc="04090001">
      <w:start w:val="1"/>
      <w:numFmt w:val="bullet"/>
      <w:lvlText w:val=""/>
      <w:lvlJc w:val="left"/>
      <w:pPr>
        <w:ind w:hanging="360" w:left="4740"/>
      </w:pPr>
      <w:rPr>
        <w:rFonts w:ascii="Symbol" w:hAnsi="Symbol" w:hint="default"/>
      </w:rPr>
    </w:lvl>
    <w:lvl w:ilvl="7" w:tentative="1" w:tplc="04090003">
      <w:start w:val="1"/>
      <w:numFmt w:val="bullet"/>
      <w:lvlText w:val="o"/>
      <w:lvlJc w:val="left"/>
      <w:pPr>
        <w:ind w:hanging="360" w:left="5460"/>
      </w:pPr>
      <w:rPr>
        <w:rFonts w:ascii="Courier New" w:cs="Courier New" w:hAnsi="Courier New" w:hint="default"/>
      </w:rPr>
    </w:lvl>
    <w:lvl w:ilvl="8" w:tentative="1" w:tplc="04090005">
      <w:start w:val="1"/>
      <w:numFmt w:val="bullet"/>
      <w:lvlText w:val=""/>
      <w:lvlJc w:val="left"/>
      <w:pPr>
        <w:ind w:hanging="360" w:left="6180"/>
      </w:pPr>
      <w:rPr>
        <w:rFonts w:ascii="Wingdings" w:hAnsi="Wingdings" w:hint="default"/>
      </w:rPr>
    </w:lvl>
  </w:abstractNum>
  <w:abstractNum w15:restartNumberingAfterBreak="0" w:abstractNumId="12">
    <w:nsid w:val="13CC3361"/>
    <w:multiLevelType w:val="multilevel"/>
    <w:tmpl w:val="9E62BC28"/>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170CD2DE"/>
    <w:multiLevelType w:val="multilevel"/>
    <w:tmpl w:val="7D6CF93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E2D4953"/>
    <w:multiLevelType w:val="multilevel"/>
    <w:tmpl w:val="3C620928"/>
    <w:lvl w:ilvl="0">
      <w:start w:val="1"/>
      <w:numFmt w:val="decimal"/>
      <w:lvlText w:val="%1"/>
      <w:lvlJc w:val="left"/>
      <w:pPr>
        <w:ind w:hanging="432" w:left="432"/>
      </w:pPr>
    </w:lvl>
    <w:lvl w:ilvl="1">
      <w:start w:val="1"/>
      <w:numFmt w:val="decimal"/>
      <w:lvlText w:val="%1.%2"/>
      <w:lvlJc w:val="left"/>
      <w:pPr>
        <w:ind w:hanging="576" w:left="576"/>
      </w:pPr>
      <w:rPr>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5">
    <w:nsid w:val="332E33E3"/>
    <w:multiLevelType w:val="multilevel"/>
    <w:tmpl w:val="78AAB5D0"/>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16">
    <w:nsid w:val="35CB76C2"/>
    <w:multiLevelType w:val="multilevel"/>
    <w:tmpl w:val="9DAEBF24"/>
    <w:lvl w:ilvl="0">
      <w:start w:val="1"/>
      <w:numFmt w:val="upperLetter"/>
      <w:lvlText w:val="Appendix %1"/>
      <w:lvlJc w:val="left"/>
      <w:pPr>
        <w:ind w:hanging="360" w:left="360"/>
      </w:pPr>
      <w:rPr>
        <w:rFonts w:ascii="Arial" w:cs="Arial" w:eastAsia="Arial" w:hAnsi="Arial"/>
        <w:b/>
        <w:i w:val="0"/>
        <w:smallCaps w:val="0"/>
        <w:strike w:val="0"/>
        <w:sz w:val="28"/>
        <w:szCs w:val="28"/>
        <w:u w:val="none"/>
        <w:vertAlign w:val="baselin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7">
    <w:nsid w:val="3A756219"/>
    <w:multiLevelType w:val="hybridMultilevel"/>
    <w:tmpl w:val="244E4FCA"/>
    <w:lvl w:ilvl="0" w:tplc="373682A4">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8">
    <w:nsid w:val="3C2527DB"/>
    <w:multiLevelType w:val="hybridMultilevel"/>
    <w:tmpl w:val="1A36F61A"/>
    <w:lvl w:ilvl="0" w:tplc="7262B494">
      <w:start w:val="1"/>
      <w:numFmt w:val="decimal"/>
      <w:lvlText w:val="%1."/>
      <w:lvlJc w:val="left"/>
      <w:pPr>
        <w:ind w:hanging="55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9">
    <w:nsid w:val="49463BC4"/>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20">
    <w:nsid w:val="4C440D66"/>
    <w:multiLevelType w:val="hybridMultilevel"/>
    <w:tmpl w:val="8D185AC8"/>
    <w:lvl w:ilvl="0" w:tplc="04090001">
      <w:start w:val="1"/>
      <w:numFmt w:val="bullet"/>
      <w:lvlText w:val=""/>
      <w:lvlJc w:val="left"/>
      <w:pPr>
        <w:ind w:hanging="360" w:left="907"/>
      </w:pPr>
      <w:rPr>
        <w:rFonts w:ascii="Symbol" w:hAnsi="Symbol" w:hint="default"/>
      </w:rPr>
    </w:lvl>
    <w:lvl w:ilvl="1" w:tentative="1" w:tplc="04090003">
      <w:start w:val="1"/>
      <w:numFmt w:val="bullet"/>
      <w:lvlText w:val="o"/>
      <w:lvlJc w:val="left"/>
      <w:pPr>
        <w:ind w:hanging="360" w:left="1627"/>
      </w:pPr>
      <w:rPr>
        <w:rFonts w:ascii="Courier New" w:cs="Courier New" w:hAnsi="Courier New" w:hint="default"/>
      </w:rPr>
    </w:lvl>
    <w:lvl w:ilvl="2" w:tentative="1" w:tplc="04090005">
      <w:start w:val="1"/>
      <w:numFmt w:val="bullet"/>
      <w:lvlText w:val=""/>
      <w:lvlJc w:val="left"/>
      <w:pPr>
        <w:ind w:hanging="360" w:left="2347"/>
      </w:pPr>
      <w:rPr>
        <w:rFonts w:ascii="Wingdings" w:hAnsi="Wingdings" w:hint="default"/>
      </w:rPr>
    </w:lvl>
    <w:lvl w:ilvl="3" w:tentative="1" w:tplc="04090001">
      <w:start w:val="1"/>
      <w:numFmt w:val="bullet"/>
      <w:lvlText w:val=""/>
      <w:lvlJc w:val="left"/>
      <w:pPr>
        <w:ind w:hanging="360" w:left="3067"/>
      </w:pPr>
      <w:rPr>
        <w:rFonts w:ascii="Symbol" w:hAnsi="Symbol" w:hint="default"/>
      </w:rPr>
    </w:lvl>
    <w:lvl w:ilvl="4" w:tentative="1" w:tplc="04090003">
      <w:start w:val="1"/>
      <w:numFmt w:val="bullet"/>
      <w:lvlText w:val="o"/>
      <w:lvlJc w:val="left"/>
      <w:pPr>
        <w:ind w:hanging="360" w:left="3787"/>
      </w:pPr>
      <w:rPr>
        <w:rFonts w:ascii="Courier New" w:cs="Courier New" w:hAnsi="Courier New" w:hint="default"/>
      </w:rPr>
    </w:lvl>
    <w:lvl w:ilvl="5" w:tentative="1" w:tplc="04090005">
      <w:start w:val="1"/>
      <w:numFmt w:val="bullet"/>
      <w:lvlText w:val=""/>
      <w:lvlJc w:val="left"/>
      <w:pPr>
        <w:ind w:hanging="360" w:left="4507"/>
      </w:pPr>
      <w:rPr>
        <w:rFonts w:ascii="Wingdings" w:hAnsi="Wingdings" w:hint="default"/>
      </w:rPr>
    </w:lvl>
    <w:lvl w:ilvl="6" w:tentative="1" w:tplc="04090001">
      <w:start w:val="1"/>
      <w:numFmt w:val="bullet"/>
      <w:lvlText w:val=""/>
      <w:lvlJc w:val="left"/>
      <w:pPr>
        <w:ind w:hanging="360" w:left="5227"/>
      </w:pPr>
      <w:rPr>
        <w:rFonts w:ascii="Symbol" w:hAnsi="Symbol" w:hint="default"/>
      </w:rPr>
    </w:lvl>
    <w:lvl w:ilvl="7" w:tentative="1" w:tplc="04090003">
      <w:start w:val="1"/>
      <w:numFmt w:val="bullet"/>
      <w:lvlText w:val="o"/>
      <w:lvlJc w:val="left"/>
      <w:pPr>
        <w:ind w:hanging="360" w:left="5947"/>
      </w:pPr>
      <w:rPr>
        <w:rFonts w:ascii="Courier New" w:cs="Courier New" w:hAnsi="Courier New" w:hint="default"/>
      </w:rPr>
    </w:lvl>
    <w:lvl w:ilvl="8" w:tentative="1" w:tplc="04090005">
      <w:start w:val="1"/>
      <w:numFmt w:val="bullet"/>
      <w:lvlText w:val=""/>
      <w:lvlJc w:val="left"/>
      <w:pPr>
        <w:ind w:hanging="360" w:left="6667"/>
      </w:pPr>
      <w:rPr>
        <w:rFonts w:ascii="Wingdings" w:hAnsi="Wingdings" w:hint="default"/>
      </w:rPr>
    </w:lvl>
  </w:abstractNum>
  <w:abstractNum w15:restartNumberingAfterBreak="0" w:abstractNumId="21">
    <w:nsid w:val="537C7628"/>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54463D7E"/>
    <w:multiLevelType w:val="multilevel"/>
    <w:tmpl w:val="3C620928"/>
    <w:lvl w:ilvl="0">
      <w:start w:val="1"/>
      <w:numFmt w:val="decimal"/>
      <w:lvlText w:val="%1"/>
      <w:lvlJc w:val="left"/>
      <w:pPr>
        <w:ind w:hanging="432" w:left="432"/>
      </w:pPr>
    </w:lvl>
    <w:lvl w:ilvl="1">
      <w:start w:val="1"/>
      <w:numFmt w:val="decimal"/>
      <w:lvlText w:val="%1.%2"/>
      <w:lvlJc w:val="left"/>
      <w:pPr>
        <w:ind w:hanging="576" w:left="576"/>
      </w:pPr>
      <w:rPr>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3">
    <w:nsid w:val="5A1770AA"/>
    <w:multiLevelType w:val="multilevel"/>
    <w:tmpl w:val="D8F4AA4E"/>
    <w:lvl w:ilvl="0">
      <w:start w:val="1"/>
      <w:numFmt w:val="decimal"/>
      <w:pStyle w:val="AppxHeading"/>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24">
    <w:nsid w:val="5A1F2966"/>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BB26592"/>
    <w:multiLevelType w:val="hybridMultilevel"/>
    <w:tmpl w:val="3D507014"/>
    <w:lvl w:ilvl="0" w:tplc="2AA8F7E8">
      <w:numFmt w:val="bullet"/>
      <w:lvlText w:val="-"/>
      <w:lvlJc w:val="left"/>
      <w:pPr>
        <w:ind w:hanging="360" w:left="1080"/>
      </w:pPr>
      <w:rPr>
        <w:rFonts w:ascii="Arial" w:cs="Arial" w:eastAsia="Calibri" w:hAnsi="Arial"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26">
    <w:nsid w:val="71592278"/>
    <w:multiLevelType w:val="multilevel"/>
    <w:tmpl w:val="7BD2BCA8"/>
    <w:lvl w:ilvl="0">
      <w:start w:val="1"/>
      <w:numFmt w:val="decimal"/>
      <w:lvlText w:val="%1"/>
      <w:lvlJc w:val="left"/>
      <w:pPr>
        <w:ind w:hanging="432" w:left="432"/>
      </w:pPr>
      <w:rPr>
        <w:rFonts w:hint="default"/>
      </w:r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7">
    <w:nsid w:val="79186A1C"/>
    <w:multiLevelType w:val="hybridMultilevel"/>
    <w:tmpl w:val="E3C6C8A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C2A30A5"/>
    <w:multiLevelType w:val="hybridMultilevel"/>
    <w:tmpl w:val="708662AA"/>
    <w:lvl w:ilvl="0" w:tplc="C05620AE">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6"/>
  </w:num>
  <w:num w:numId="14">
    <w:abstractNumId w:val="23"/>
  </w:num>
  <w:num w:numId="15">
    <w:abstractNumId w:val="24"/>
  </w:num>
  <w:num w:numId="16">
    <w:abstractNumId w:val="12"/>
  </w:num>
  <w:num w:numId="17">
    <w:abstractNumId w:val="26"/>
  </w:num>
  <w:num w:numId="18">
    <w:abstractNumId w:val="21"/>
  </w:num>
  <w:num w:numId="19">
    <w:abstractNumId w:val="28"/>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22"/>
    <w:lvlOverride w:ilvl="0">
      <w:startOverride w:val="5"/>
    </w:lvlOverride>
    <w:lvlOverride w:ilvl="1">
      <w:startOverride w:val="4"/>
    </w:lvlOverride>
  </w:num>
  <w:num w:numId="23">
    <w:abstractNumId w:val="20"/>
  </w:num>
  <w:num w:numId="24">
    <w:abstractNumId w:val="10"/>
  </w:num>
  <w:num w:numId="25">
    <w:abstractNumId w:val="27"/>
  </w:num>
  <w:num w:numId="26">
    <w:abstractNumId w:val="14"/>
  </w:num>
  <w:num w:numId="27">
    <w:abstractNumId w:val="11"/>
  </w:num>
  <w:num w:numId="28">
    <w:abstractNumId w:val="25"/>
  </w:num>
  <w:num w:numId="29">
    <w:abstractNumId w:val="19"/>
  </w:num>
  <w:num w:numId="30">
    <w:abstractNumId w:val="17"/>
  </w:num>
  <w:num w:numId="31">
    <w:abstractNumId w:val="1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qFormat="1"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9"/>
    <w:lsdException w:name="Hyperlink" w:uiPriority="99"/>
    <w:lsdException w:name="FollowedHyperlink" w:uiPriority="99"/>
    <w:lsdException w:name="Strong" w:qFormat="1"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Bibliography" w:semiHidden="1" w:unhideWhenUsed="1"/>
    <w:lsdException w:name="TOC Heading" w:qFormat="1" w:semiHidden="1" w:uiPriority="39" w:unhideWhenUsed="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F5921"/>
  </w:style>
  <w:style w:styleId="Heading1" w:type="paragraph">
    <w:name w:val="heading 1"/>
    <w:basedOn w:val="Normal"/>
    <w:next w:val="BodyText"/>
    <w:link w:val="Heading1Char"/>
    <w:uiPriority w:val="9"/>
    <w:qFormat/>
    <w:rsid w:val="00FC27E5"/>
    <w:pPr>
      <w:keepNext/>
      <w:keepLines/>
      <w:numPr>
        <w:numId w:val="29"/>
      </w:numPr>
      <w:spacing w:after="0" w:before="120"/>
      <w:outlineLvl w:val="0"/>
    </w:pPr>
    <w:rPr>
      <w:rFonts w:ascii="Arial" w:cstheme="majorBidi" w:eastAsiaTheme="majorEastAsia" w:hAnsi="Arial"/>
      <w:b/>
      <w:bCs/>
      <w:sz w:val="32"/>
      <w:szCs w:val="32"/>
    </w:rPr>
  </w:style>
  <w:style w:styleId="Heading2" w:type="paragraph">
    <w:name w:val="heading 2"/>
    <w:basedOn w:val="Normal"/>
    <w:next w:val="BodyText"/>
    <w:link w:val="Heading2Char"/>
    <w:uiPriority w:val="9"/>
    <w:unhideWhenUsed/>
    <w:qFormat/>
    <w:rsid w:val="00FC27E5"/>
    <w:pPr>
      <w:keepNext/>
      <w:keepLines/>
      <w:numPr>
        <w:ilvl w:val="1"/>
        <w:numId w:val="29"/>
      </w:numPr>
      <w:spacing w:after="0"/>
      <w:outlineLvl w:val="1"/>
    </w:pPr>
    <w:rPr>
      <w:rFonts w:ascii="Arial" w:cstheme="majorBidi" w:eastAsiaTheme="majorEastAsia" w:hAnsi="Arial"/>
      <w:b/>
      <w:bCs/>
      <w:sz w:val="36"/>
      <w:szCs w:val="28"/>
    </w:rPr>
  </w:style>
  <w:style w:styleId="Heading3" w:type="paragraph">
    <w:name w:val="heading 3"/>
    <w:basedOn w:val="Normal"/>
    <w:next w:val="BodyText"/>
    <w:link w:val="Heading3Char"/>
    <w:uiPriority w:val="9"/>
    <w:unhideWhenUsed/>
    <w:qFormat/>
    <w:rsid w:val="00FC27E5"/>
    <w:pPr>
      <w:keepNext/>
      <w:keepLines/>
      <w:numPr>
        <w:ilvl w:val="2"/>
        <w:numId w:val="29"/>
      </w:numPr>
      <w:spacing w:after="0"/>
      <w:outlineLvl w:val="2"/>
    </w:pPr>
    <w:rPr>
      <w:rFonts w:ascii="Arial" w:cstheme="majorBidi" w:eastAsiaTheme="majorEastAsia" w:hAnsi="Arial"/>
      <w:b/>
      <w:bCs/>
    </w:rPr>
  </w:style>
  <w:style w:styleId="Heading4" w:type="paragraph">
    <w:name w:val="heading 4"/>
    <w:basedOn w:val="Normal"/>
    <w:next w:val="BodyText"/>
    <w:uiPriority w:val="9"/>
    <w:unhideWhenUsed/>
    <w:qFormat/>
    <w:rsid w:val="00FC27E5"/>
    <w:pPr>
      <w:keepNext/>
      <w:keepLines/>
      <w:numPr>
        <w:ilvl w:val="3"/>
        <w:numId w:val="29"/>
      </w:numPr>
      <w:spacing w:after="0"/>
      <w:outlineLvl w:val="3"/>
    </w:pPr>
    <w:rPr>
      <w:rFonts w:ascii="Arial" w:cstheme="majorBidi" w:eastAsiaTheme="majorEastAsia" w:hAnsi="Arial"/>
      <w:bCs/>
      <w:i/>
    </w:rPr>
  </w:style>
  <w:style w:styleId="Heading5" w:type="paragraph">
    <w:name w:val="heading 5"/>
    <w:basedOn w:val="Normal"/>
    <w:next w:val="BodyText"/>
    <w:uiPriority w:val="9"/>
    <w:unhideWhenUsed/>
    <w:qFormat/>
    <w:rsid w:val="00FC27E5"/>
    <w:pPr>
      <w:keepNext/>
      <w:keepLines/>
      <w:numPr>
        <w:ilvl w:val="4"/>
        <w:numId w:val="29"/>
      </w:numPr>
      <w:spacing w:after="0"/>
      <w:outlineLvl w:val="4"/>
    </w:pPr>
    <w:rPr>
      <w:rFonts w:ascii="Arial" w:cstheme="majorBidi" w:eastAsiaTheme="majorEastAsia" w:hAnsi="Arial"/>
      <w:iCs/>
    </w:rPr>
  </w:style>
  <w:style w:styleId="Heading6" w:type="paragraph">
    <w:name w:val="heading 6"/>
    <w:basedOn w:val="Normal"/>
    <w:next w:val="BodyText"/>
    <w:uiPriority w:val="9"/>
    <w:unhideWhenUsed/>
    <w:qFormat/>
    <w:rsid w:val="00FC27E5"/>
    <w:pPr>
      <w:keepNext/>
      <w:keepLines/>
      <w:numPr>
        <w:ilvl w:val="5"/>
        <w:numId w:val="29"/>
      </w:numPr>
      <w:spacing w:after="0"/>
      <w:outlineLvl w:val="5"/>
    </w:pPr>
    <w:rPr>
      <w:rFonts w:ascii="Arial" w:cstheme="majorBidi" w:eastAsiaTheme="majorEastAsia" w:hAnsi="Arial"/>
    </w:rPr>
  </w:style>
  <w:style w:styleId="Heading7" w:type="paragraph">
    <w:name w:val="heading 7"/>
    <w:basedOn w:val="Normal"/>
    <w:next w:val="BodyText"/>
    <w:link w:val="Heading7Char"/>
    <w:uiPriority w:val="9"/>
    <w:unhideWhenUsed/>
    <w:qFormat/>
    <w:pPr>
      <w:keepNext/>
      <w:keepLines/>
      <w:numPr>
        <w:ilvl w:val="6"/>
        <w:numId w:val="29"/>
      </w:numPr>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link w:val="Heading8Char"/>
    <w:uiPriority w:val="9"/>
    <w:unhideWhenUsed/>
    <w:qFormat/>
    <w:pPr>
      <w:keepNext/>
      <w:keepLines/>
      <w:numPr>
        <w:ilvl w:val="7"/>
        <w:numId w:val="29"/>
      </w:numPr>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link w:val="Heading9Char"/>
    <w:uiPriority w:val="9"/>
    <w:unhideWhenUsed/>
    <w:qFormat/>
    <w:pPr>
      <w:keepNext/>
      <w:keepLines/>
      <w:numPr>
        <w:ilvl w:val="8"/>
        <w:numId w:val="29"/>
      </w:numPr>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uiPriority w:val="99"/>
    <w:qFormat/>
    <w:rsid w:val="00FC27E5"/>
    <w:pPr>
      <w:spacing w:after="0"/>
      <w:jc w:val="both"/>
    </w:pPr>
    <w:rPr>
      <w:rFonts w:ascii="Arial" w:hAnsi="Arial"/>
      <w:sz w:val="22"/>
    </w:rPr>
  </w:style>
  <w:style w:customStyle="1" w:styleId="FirstParagraph" w:type="paragraph">
    <w:name w:val="First Paragraph"/>
    <w:basedOn w:val="BodyText"/>
    <w:next w:val="BodyText"/>
    <w:qFormat/>
    <w:rsid w:val="00FC27E5"/>
  </w:style>
  <w:style w:customStyle="1" w:styleId="Compact" w:type="paragraph">
    <w:name w:val="Compact"/>
    <w:basedOn w:val="BodyText"/>
    <w:qFormat/>
    <w:rsid w:val="00C91743"/>
    <w:rPr>
      <w:sz w:val="16"/>
    </w:rPr>
  </w:style>
  <w:style w:styleId="Title" w:type="paragraph">
    <w:name w:val="Title"/>
    <w:basedOn w:val="Normal"/>
    <w:next w:val="BodyText"/>
    <w:link w:val="TitleChar"/>
    <w:uiPriority w:val="10"/>
    <w:qFormat/>
    <w:rsid w:val="00FC27E5"/>
    <w:pPr>
      <w:keepNext/>
      <w:keepLines/>
      <w:spacing w:after="0"/>
    </w:pPr>
    <w:rPr>
      <w:rFonts w:ascii="Arial" w:cstheme="majorBidi" w:eastAsiaTheme="majorEastAsia" w:hAnsi="Arial"/>
      <w:b/>
      <w:bCs/>
      <w:sz w:val="44"/>
      <w:szCs w:val="36"/>
    </w:rPr>
  </w:style>
  <w:style w:styleId="Subtitle" w:type="paragraph">
    <w:name w:val="Subtitle"/>
    <w:basedOn w:val="Title"/>
    <w:next w:val="BodyText"/>
    <w:link w:val="SubtitleChar"/>
    <w:uiPriority w:val="11"/>
    <w:qFormat/>
    <w:rsid w:val="00FC27E5"/>
    <w:rPr>
      <w:sz w:val="32"/>
      <w:szCs w:val="30"/>
    </w:rPr>
  </w:style>
  <w:style w:customStyle="1" w:styleId="Author" w:type="paragraph">
    <w:name w:val="Author"/>
    <w:next w:val="BodyText"/>
    <w:qFormat/>
    <w:rsid w:val="00FC27E5"/>
    <w:pPr>
      <w:keepNext/>
      <w:keepLines/>
      <w:spacing w:after="0"/>
    </w:pPr>
    <w:rPr>
      <w:rFonts w:ascii="Arial" w:hAnsi="Arial"/>
      <w:sz w:val="32"/>
    </w:rPr>
  </w:style>
  <w:style w:styleId="Date" w:type="paragraph">
    <w:name w:val="Date"/>
    <w:next w:val="BodyText"/>
    <w:qFormat/>
    <w:rsid w:val="00FC27E5"/>
    <w:pPr>
      <w:keepNext/>
      <w:keepLines/>
      <w:spacing w:after="0"/>
    </w:pPr>
    <w:rPr>
      <w:rFonts w:ascii="Arial" w:hAnsi="Arial"/>
    </w:rPr>
  </w:style>
  <w:style w:customStyle="1" w:styleId="Abstract" w:type="paragraph">
    <w:name w:val="Abstract"/>
    <w:basedOn w:val="Normal"/>
    <w:next w:val="BodyText"/>
    <w:qFormat/>
    <w:rsid w:val="00FC27E5"/>
    <w:pPr>
      <w:keepNext/>
      <w:keepLines/>
      <w:spacing w:after="0"/>
      <w:jc w:val="both"/>
    </w:pPr>
    <w:rPr>
      <w:rFonts w:ascii="Arial" w:hAnsi="Arial"/>
      <w:sz w:val="22"/>
      <w:szCs w:val="20"/>
    </w:rPr>
  </w:style>
  <w:style w:styleId="Bibliography" w:type="paragraph">
    <w:name w:val="Bibliography"/>
    <w:basedOn w:val="Normal"/>
    <w:qFormat/>
  </w:style>
  <w:style w:styleId="BlockText" w:type="paragraph">
    <w:name w:val="Block Text"/>
    <w:basedOn w:val="BodyText"/>
    <w:next w:val="BodyText"/>
    <w:uiPriority w:val="99"/>
    <w:unhideWhenUsed/>
    <w:qFormat/>
    <w:pPr>
      <w:spacing w:after="100" w:before="100"/>
      <w:ind w:left="480" w:right="480"/>
    </w:pPr>
  </w:style>
  <w:style w:styleId="FootnoteText" w:type="paragraph">
    <w:name w:val="footnote text"/>
    <w:basedOn w:val="Normal"/>
    <w:link w:val="FootnoteTextChar"/>
    <w:uiPriority w:val="9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qFormat/>
    <w:rsid w:val="007B01D5"/>
    <w:pPr>
      <w:spacing w:after="120"/>
    </w:pPr>
    <w:rPr>
      <w:rFonts w:ascii="Arial" w:hAnsi="Arial"/>
      <w:sz w:val="22"/>
    </w:rPr>
  </w:style>
  <w:style w:customStyle="1" w:styleId="TableCaption" w:type="paragraph">
    <w:name w:val="Table Caption"/>
    <w:basedOn w:val="Caption"/>
    <w:next w:val="Caption"/>
    <w:rsid w:val="00AE62D7"/>
    <w:pPr>
      <w:keepNext/>
      <w:spacing w:before="120"/>
    </w:pPr>
    <w:rPr>
      <w:rFonts w:cs="Arial"/>
      <w:sz w:val="20"/>
    </w:rPr>
  </w:style>
  <w:style w:customStyle="1" w:styleId="ImageCaption" w:type="paragraph">
    <w:name w:val="Image Caption"/>
    <w:basedOn w:val="Caption"/>
  </w:style>
  <w:style w:customStyle="1" w:styleId="Figure" w:type="paragraph">
    <w:name w:val="Figure"/>
    <w:basedOn w:val="Normal"/>
    <w:rsid w:val="00055F0F"/>
    <w:pPr>
      <w:jc w:val="both"/>
    </w:pPr>
    <w:rPr>
      <w:rFonts w:ascii="Arial" w:hAnsi="Arial"/>
      <w:sz w:val="20"/>
    </w:rPr>
  </w:style>
  <w:style w:customStyle="1" w:styleId="CaptionedFigure" w:type="paragraph">
    <w:name w:val="Captioned Figure"/>
    <w:basedOn w:val="Caption"/>
    <w:rsid w:val="00055F0F"/>
    <w:pPr>
      <w:keepNext/>
      <w:spacing w:after="0"/>
    </w:pPr>
  </w:style>
  <w:style w:customStyle="1" w:styleId="CaptionChar" w:type="character">
    <w:name w:val="Caption Char"/>
    <w:basedOn w:val="DefaultParagraphFont"/>
    <w:link w:val="Caption"/>
    <w:uiPriority w:val="35"/>
    <w:rsid w:val="000411AB"/>
    <w:rPr>
      <w:rFonts w:ascii="Arial" w:hAnsi="Arial"/>
      <w:sz w:val="22"/>
    </w:rPr>
  </w:style>
  <w:style w:customStyle="1" w:styleId="VerbatimChar" w:type="character">
    <w:name w:val="Verbatim Char"/>
    <w:basedOn w:val="CaptionChar"/>
    <w:rsid w:val="00FC27E5"/>
    <w:rPr>
      <w:rFonts w:ascii="Arial" w:hAnsi="Arial"/>
      <w:sz w:val="22"/>
    </w:rPr>
  </w:style>
  <w:style w:customStyle="1" w:styleId="SectionNumber" w:type="character">
    <w:name w:val="Section Number"/>
    <w:basedOn w:val="CaptionChar"/>
    <w:rPr>
      <w:rFonts w:ascii="Arial" w:hAnsi="Arial"/>
      <w:sz w:val="22"/>
    </w:rPr>
  </w:style>
  <w:style w:styleId="FootnoteReference" w:type="character">
    <w:name w:val="footnote reference"/>
    <w:basedOn w:val="CaptionChar"/>
    <w:uiPriority w:val="99"/>
    <w:rPr>
      <w:rFonts w:ascii="Arial" w:hAnsi="Arial"/>
      <w:sz w:val="22"/>
      <w:vertAlign w:val="superscript"/>
    </w:rPr>
  </w:style>
  <w:style w:styleId="Hyperlink" w:type="character">
    <w:name w:val="Hyperlink"/>
    <w:basedOn w:val="CaptionChar"/>
    <w:uiPriority w:val="99"/>
    <w:rsid w:val="00FC27E5"/>
    <w:rPr>
      <w:rFonts w:ascii="Arial" w:hAnsi="Arial"/>
      <w:color w:val="auto"/>
      <w:sz w:val="2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NoList1" w:type="numbering">
    <w:name w:val="No List1"/>
    <w:next w:val="NoList"/>
    <w:uiPriority w:val="99"/>
    <w:semiHidden/>
    <w:unhideWhenUsed/>
    <w:rsid w:val="00EC197E"/>
  </w:style>
  <w:style w:customStyle="1" w:styleId="BodyTextChar" w:type="character">
    <w:name w:val="Body Text Char"/>
    <w:basedOn w:val="DefaultParagraphFont"/>
    <w:link w:val="BodyText"/>
    <w:uiPriority w:val="99"/>
    <w:rsid w:val="00FC27E5"/>
    <w:rPr>
      <w:rFonts w:ascii="Arial" w:hAnsi="Arial"/>
      <w:sz w:val="22"/>
    </w:rPr>
  </w:style>
  <w:style w:styleId="Footer" w:type="paragraph">
    <w:name w:val="footer"/>
    <w:basedOn w:val="Normal"/>
    <w:link w:val="FooterChar"/>
    <w:uiPriority w:val="99"/>
    <w:unhideWhenUsed/>
    <w:rsid w:val="00EC197E"/>
    <w:pPr>
      <w:tabs>
        <w:tab w:pos="4680" w:val="center"/>
        <w:tab w:pos="9360" w:val="right"/>
      </w:tabs>
      <w:spacing w:after="240" w:line="276" w:lineRule="auto"/>
      <w:jc w:val="both"/>
    </w:pPr>
    <w:rPr>
      <w:rFonts w:ascii="Arial" w:cs="Times New Roman" w:eastAsia="Times New Roman" w:hAnsi="Arial"/>
      <w:sz w:val="20"/>
      <w:szCs w:val="20"/>
      <w:lang w:eastAsia="x-none" w:val="x-none"/>
    </w:rPr>
  </w:style>
  <w:style w:customStyle="1" w:styleId="FooterChar" w:type="character">
    <w:name w:val="Footer Char"/>
    <w:basedOn w:val="DefaultParagraphFont"/>
    <w:link w:val="Footer"/>
    <w:uiPriority w:val="99"/>
    <w:rsid w:val="00EC197E"/>
    <w:rPr>
      <w:rFonts w:ascii="Arial" w:cs="Times New Roman" w:eastAsia="Times New Roman" w:hAnsi="Arial"/>
      <w:sz w:val="20"/>
      <w:szCs w:val="20"/>
      <w:lang w:eastAsia="x-none" w:val="x-none"/>
    </w:rPr>
  </w:style>
  <w:style w:styleId="PageNumber" w:type="character">
    <w:name w:val="page number"/>
    <w:rsid w:val="00EC197E"/>
    <w:rPr>
      <w:rFonts w:cs="Times New Roman"/>
    </w:rPr>
  </w:style>
  <w:style w:customStyle="1" w:styleId="TitleChar" w:type="character">
    <w:name w:val="Title Char"/>
    <w:link w:val="Title"/>
    <w:uiPriority w:val="10"/>
    <w:rsid w:val="00FC27E5"/>
    <w:rPr>
      <w:rFonts w:ascii="Arial" w:cstheme="majorBidi" w:eastAsiaTheme="majorEastAsia" w:hAnsi="Arial"/>
      <w:b/>
      <w:bCs/>
      <w:sz w:val="44"/>
      <w:szCs w:val="36"/>
    </w:rPr>
  </w:style>
  <w:style w:styleId="BalloonText" w:type="paragraph">
    <w:name w:val="Balloon Text"/>
    <w:basedOn w:val="Normal"/>
    <w:link w:val="BalloonTextChar"/>
    <w:uiPriority w:val="99"/>
    <w:semiHidden/>
    <w:unhideWhenUsed/>
    <w:rsid w:val="00EC197E"/>
    <w:pPr>
      <w:spacing w:after="240" w:line="276" w:lineRule="auto"/>
      <w:jc w:val="both"/>
    </w:pPr>
    <w:rPr>
      <w:rFonts w:ascii="Tahoma" w:cs="Times New Roman" w:eastAsia="Times New Roman" w:hAnsi="Tahoma"/>
      <w:sz w:val="16"/>
      <w:szCs w:val="16"/>
      <w:lang w:eastAsia="x-none" w:val="x-none"/>
    </w:rPr>
  </w:style>
  <w:style w:customStyle="1" w:styleId="BalloonTextChar" w:type="character">
    <w:name w:val="Balloon Text Char"/>
    <w:basedOn w:val="DefaultParagraphFont"/>
    <w:link w:val="BalloonText"/>
    <w:uiPriority w:val="99"/>
    <w:semiHidden/>
    <w:rsid w:val="00EC197E"/>
    <w:rPr>
      <w:rFonts w:ascii="Tahoma" w:cs="Times New Roman" w:eastAsia="Times New Roman" w:hAnsi="Tahoma"/>
      <w:sz w:val="16"/>
      <w:szCs w:val="16"/>
      <w:lang w:eastAsia="x-none" w:val="x-none"/>
    </w:rPr>
  </w:style>
  <w:style w:styleId="Header" w:type="paragraph">
    <w:name w:val="header"/>
    <w:basedOn w:val="Normal"/>
    <w:link w:val="HeaderChar"/>
    <w:uiPriority w:val="99"/>
    <w:unhideWhenUsed/>
    <w:rsid w:val="00EC197E"/>
    <w:pPr>
      <w:tabs>
        <w:tab w:pos="4680" w:val="center"/>
        <w:tab w:pos="9360" w:val="right"/>
      </w:tabs>
      <w:spacing w:after="240" w:line="276" w:lineRule="auto"/>
      <w:jc w:val="both"/>
    </w:pPr>
    <w:rPr>
      <w:rFonts w:ascii="Arial" w:cs="Times New Roman" w:eastAsia="Times New Roman" w:hAnsi="Arial"/>
      <w:sz w:val="22"/>
      <w:szCs w:val="22"/>
    </w:rPr>
  </w:style>
  <w:style w:customStyle="1" w:styleId="HeaderChar" w:type="character">
    <w:name w:val="Header Char"/>
    <w:basedOn w:val="DefaultParagraphFont"/>
    <w:link w:val="Header"/>
    <w:uiPriority w:val="99"/>
    <w:rsid w:val="00EC197E"/>
    <w:rPr>
      <w:rFonts w:ascii="Arial" w:cs="Times New Roman" w:eastAsia="Times New Roman" w:hAnsi="Arial"/>
      <w:sz w:val="22"/>
      <w:szCs w:val="22"/>
    </w:rPr>
  </w:style>
  <w:style w:customStyle="1" w:styleId="SubtitleChar" w:type="character">
    <w:name w:val="Subtitle Char"/>
    <w:basedOn w:val="DefaultParagraphFont"/>
    <w:link w:val="Subtitle"/>
    <w:uiPriority w:val="11"/>
    <w:rsid w:val="00FC27E5"/>
    <w:rPr>
      <w:rFonts w:ascii="Arial" w:cstheme="majorBidi" w:eastAsiaTheme="majorEastAsia" w:hAnsi="Arial"/>
      <w:b/>
      <w:bCs/>
      <w:sz w:val="32"/>
      <w:szCs w:val="30"/>
    </w:rPr>
  </w:style>
  <w:style w:customStyle="1" w:styleId="Heading1Char" w:type="character">
    <w:name w:val="Heading 1 Char"/>
    <w:basedOn w:val="DefaultParagraphFont"/>
    <w:link w:val="Heading1"/>
    <w:uiPriority w:val="9"/>
    <w:rsid w:val="00FC27E5"/>
    <w:rPr>
      <w:rFonts w:ascii="Arial" w:cstheme="majorBidi" w:eastAsiaTheme="majorEastAsia" w:hAnsi="Arial"/>
      <w:b/>
      <w:bCs/>
      <w:sz w:val="32"/>
      <w:szCs w:val="32"/>
    </w:rPr>
  </w:style>
  <w:style w:customStyle="1" w:styleId="Heading2Char" w:type="character">
    <w:name w:val="Heading 2 Char"/>
    <w:basedOn w:val="DefaultParagraphFont"/>
    <w:link w:val="Heading2"/>
    <w:uiPriority w:val="9"/>
    <w:rsid w:val="00FC27E5"/>
    <w:rPr>
      <w:rFonts w:ascii="Arial" w:cstheme="majorBidi" w:eastAsiaTheme="majorEastAsia" w:hAnsi="Arial"/>
      <w:b/>
      <w:bCs/>
      <w:sz w:val="36"/>
      <w:szCs w:val="28"/>
    </w:rPr>
  </w:style>
  <w:style w:customStyle="1" w:styleId="Heading3Char" w:type="character">
    <w:name w:val="Heading 3 Char"/>
    <w:basedOn w:val="DefaultParagraphFont"/>
    <w:link w:val="Heading3"/>
    <w:uiPriority w:val="9"/>
    <w:rsid w:val="00FC27E5"/>
    <w:rPr>
      <w:rFonts w:ascii="Arial" w:cstheme="majorBidi" w:eastAsiaTheme="majorEastAsia" w:hAnsi="Arial"/>
      <w:b/>
      <w:bCs/>
    </w:rPr>
  </w:style>
  <w:style w:customStyle="1" w:styleId="Authors" w:type="paragraph">
    <w:name w:val="Authors"/>
    <w:basedOn w:val="Subtitle"/>
    <w:link w:val="AuthorsChar"/>
    <w:qFormat/>
    <w:rsid w:val="00EC197E"/>
    <w:pPr>
      <w:keepNext w:val="0"/>
      <w:keepLines w:val="0"/>
      <w:spacing w:before="480" w:line="276" w:lineRule="auto"/>
      <w:jc w:val="both"/>
    </w:pPr>
    <w:rPr>
      <w:rFonts w:cs="Arial" w:eastAsia="Arial Narrow"/>
      <w:b w:val="0"/>
      <w:bCs w:val="0"/>
      <w:sz w:val="28"/>
      <w:szCs w:val="28"/>
    </w:rPr>
  </w:style>
  <w:style w:customStyle="1" w:styleId="USDOC" w:type="paragraph">
    <w:name w:val="US DOC"/>
    <w:basedOn w:val="Normal"/>
    <w:link w:val="USDOCChar"/>
    <w:qFormat/>
    <w:rsid w:val="00EC197E"/>
    <w:pPr>
      <w:spacing w:after="0" w:line="276" w:lineRule="auto"/>
      <w:jc w:val="both"/>
    </w:pPr>
    <w:rPr>
      <w:rFonts w:ascii="Arial Narrow" w:cs="Times New Roman" w:eastAsia="Times New Roman" w:hAnsi="Arial Narrow"/>
      <w:b/>
      <w:sz w:val="22"/>
      <w:szCs w:val="22"/>
    </w:rPr>
  </w:style>
  <w:style w:customStyle="1" w:styleId="AuthorsChar" w:type="character">
    <w:name w:val="Authors Char"/>
    <w:basedOn w:val="SubtitleChar"/>
    <w:link w:val="Authors"/>
    <w:rsid w:val="00EC197E"/>
    <w:rPr>
      <w:rFonts w:ascii="Arial" w:cs="Arial" w:eastAsia="Arial Narrow" w:hAnsi="Arial"/>
      <w:b w:val="0"/>
      <w:bCs w:val="0"/>
      <w:sz w:val="28"/>
      <w:szCs w:val="28"/>
    </w:rPr>
  </w:style>
  <w:style w:customStyle="1" w:styleId="NMFS" w:type="paragraph">
    <w:name w:val="NMFS"/>
    <w:basedOn w:val="Normal"/>
    <w:link w:val="NMFSChar"/>
    <w:qFormat/>
    <w:rsid w:val="00EC197E"/>
    <w:pPr>
      <w:spacing w:after="240" w:line="276" w:lineRule="auto"/>
      <w:jc w:val="both"/>
    </w:pPr>
    <w:rPr>
      <w:rFonts w:ascii="Arial Narrow" w:cs="Times New Roman" w:eastAsia="Times New Roman" w:hAnsi="Arial Narrow"/>
      <w:sz w:val="22"/>
      <w:szCs w:val="22"/>
    </w:rPr>
  </w:style>
  <w:style w:customStyle="1" w:styleId="USDOCChar" w:type="character">
    <w:name w:val="US DOC Char"/>
    <w:basedOn w:val="DefaultParagraphFont"/>
    <w:link w:val="USDOC"/>
    <w:rsid w:val="00EC197E"/>
    <w:rPr>
      <w:rFonts w:ascii="Arial Narrow" w:cs="Times New Roman" w:eastAsia="Times New Roman" w:hAnsi="Arial Narrow"/>
      <w:b/>
      <w:sz w:val="22"/>
      <w:szCs w:val="22"/>
    </w:rPr>
  </w:style>
  <w:style w:customStyle="1" w:styleId="NMFSChar" w:type="character">
    <w:name w:val="NMFS Char"/>
    <w:basedOn w:val="DefaultParagraphFont"/>
    <w:link w:val="NMFS"/>
    <w:rsid w:val="00EC197E"/>
    <w:rPr>
      <w:rFonts w:ascii="Arial Narrow" w:cs="Times New Roman" w:eastAsia="Times New Roman" w:hAnsi="Arial Narrow"/>
      <w:sz w:val="22"/>
      <w:szCs w:val="22"/>
    </w:rPr>
  </w:style>
  <w:style w:customStyle="1" w:styleId="DOCEmblem" w:type="paragraph">
    <w:name w:val="DOC Emblem"/>
    <w:basedOn w:val="Normal"/>
    <w:link w:val="DOCEmblemChar"/>
    <w:qFormat/>
    <w:rsid w:val="00EC197E"/>
    <w:pPr>
      <w:spacing w:after="240" w:before="2520" w:line="276" w:lineRule="auto"/>
      <w:jc w:val="both"/>
    </w:pPr>
    <w:rPr>
      <w:rFonts w:ascii="Arial" w:cs="Times New Roman" w:eastAsia="Times New Roman" w:hAnsi="Arial"/>
      <w:noProof/>
      <w:sz w:val="22"/>
      <w:szCs w:val="22"/>
    </w:rPr>
  </w:style>
  <w:style w:customStyle="1" w:styleId="Affiliations" w:type="paragraph">
    <w:name w:val="Affiliations"/>
    <w:basedOn w:val="Normal"/>
    <w:link w:val="AffiliationsChar"/>
    <w:qFormat/>
    <w:rsid w:val="00EC197E"/>
    <w:pPr>
      <w:spacing w:after="0" w:before="480" w:line="276" w:lineRule="auto"/>
      <w:ind w:hanging="360" w:left="360"/>
      <w:jc w:val="both"/>
    </w:pPr>
    <w:rPr>
      <w:rFonts w:ascii="Arial" w:cs="Arial" w:eastAsia="Times New Roman" w:hAnsi="Arial"/>
      <w:sz w:val="22"/>
      <w:szCs w:val="22"/>
    </w:rPr>
  </w:style>
  <w:style w:customStyle="1" w:styleId="DOCEmblemChar" w:type="character">
    <w:name w:val="DOC Emblem Char"/>
    <w:basedOn w:val="DefaultParagraphFont"/>
    <w:link w:val="DOCEmblem"/>
    <w:rsid w:val="00EC197E"/>
    <w:rPr>
      <w:rFonts w:ascii="Arial" w:cs="Times New Roman" w:eastAsia="Times New Roman" w:hAnsi="Arial"/>
      <w:noProof/>
      <w:sz w:val="22"/>
      <w:szCs w:val="22"/>
    </w:rPr>
  </w:style>
  <w:style w:customStyle="1" w:styleId="TM" w:type="paragraph">
    <w:name w:val="TM"/>
    <w:basedOn w:val="NMFS"/>
    <w:link w:val="TMChar"/>
    <w:qFormat/>
    <w:rsid w:val="00EC197E"/>
  </w:style>
  <w:style w:customStyle="1" w:styleId="AffiliationsChar" w:type="character">
    <w:name w:val="Affiliations Char"/>
    <w:basedOn w:val="DefaultParagraphFont"/>
    <w:link w:val="Affiliations"/>
    <w:rsid w:val="00EC197E"/>
    <w:rPr>
      <w:rFonts w:ascii="Arial" w:cs="Arial" w:eastAsia="Times New Roman" w:hAnsi="Arial"/>
      <w:sz w:val="22"/>
      <w:szCs w:val="22"/>
    </w:rPr>
  </w:style>
  <w:style w:customStyle="1" w:styleId="SubheadsTitlePages" w:type="paragraph">
    <w:name w:val="Subheads Title Pages"/>
    <w:basedOn w:val="USDOC"/>
    <w:link w:val="SubheadsTitlePagesChar"/>
    <w:qFormat/>
    <w:rsid w:val="00EC197E"/>
    <w:pPr>
      <w:spacing w:after="120"/>
    </w:pPr>
  </w:style>
  <w:style w:customStyle="1" w:styleId="TMChar" w:type="character">
    <w:name w:val="TM Char"/>
    <w:basedOn w:val="NMFSChar"/>
    <w:link w:val="TM"/>
    <w:rsid w:val="00EC197E"/>
    <w:rPr>
      <w:rFonts w:ascii="Arial Narrow" w:cs="Times New Roman" w:eastAsia="Times New Roman" w:hAnsi="Arial Narrow"/>
      <w:sz w:val="22"/>
      <w:szCs w:val="22"/>
    </w:rPr>
  </w:style>
  <w:style w:customStyle="1" w:styleId="Literature" w:type="paragraph">
    <w:name w:val="Literature"/>
    <w:basedOn w:val="Normal"/>
    <w:link w:val="LiteratureChar"/>
    <w:qFormat/>
    <w:rsid w:val="00EC197E"/>
    <w:pPr>
      <w:spacing w:after="240" w:line="276" w:lineRule="auto"/>
      <w:ind w:hanging="720" w:left="720"/>
      <w:jc w:val="both"/>
    </w:pPr>
    <w:rPr>
      <w:rFonts w:ascii="Arial" w:cs="Times New Roman" w:eastAsia="Times New Roman" w:hAnsi="Arial"/>
      <w:sz w:val="22"/>
      <w:szCs w:val="22"/>
    </w:rPr>
  </w:style>
  <w:style w:customStyle="1" w:styleId="SubheadsTitlePagesChar" w:type="character">
    <w:name w:val="Subheads Title Pages Char"/>
    <w:basedOn w:val="USDOCChar"/>
    <w:link w:val="SubheadsTitlePages"/>
    <w:rsid w:val="00EC197E"/>
    <w:rPr>
      <w:rFonts w:ascii="Arial Narrow" w:cs="Times New Roman" w:eastAsia="Times New Roman" w:hAnsi="Arial Narrow"/>
      <w:b/>
      <w:sz w:val="22"/>
      <w:szCs w:val="22"/>
    </w:rPr>
  </w:style>
  <w:style w:customStyle="1" w:styleId="LiteratureChar" w:type="character">
    <w:name w:val="Literature Char"/>
    <w:basedOn w:val="DefaultParagraphFont"/>
    <w:link w:val="Literature"/>
    <w:rsid w:val="00EC197E"/>
    <w:rPr>
      <w:rFonts w:ascii="Arial" w:cs="Times New Roman" w:eastAsia="Times New Roman" w:hAnsi="Arial"/>
      <w:sz w:val="22"/>
      <w:szCs w:val="22"/>
    </w:rPr>
  </w:style>
  <w:style w:styleId="TOC1" w:type="paragraph">
    <w:name w:val="toc 1"/>
    <w:basedOn w:val="Normal"/>
    <w:next w:val="Normal"/>
    <w:autoRedefine/>
    <w:uiPriority w:val="39"/>
    <w:unhideWhenUsed/>
    <w:rsid w:val="00EC197E"/>
    <w:pPr>
      <w:spacing w:after="100" w:line="276" w:lineRule="auto"/>
      <w:jc w:val="both"/>
    </w:pPr>
    <w:rPr>
      <w:rFonts w:ascii="Arial" w:cs="Times New Roman" w:eastAsia="Times New Roman" w:hAnsi="Arial"/>
      <w:sz w:val="22"/>
      <w:szCs w:val="22"/>
    </w:rPr>
  </w:style>
  <w:style w:styleId="TOC2" w:type="paragraph">
    <w:name w:val="toc 2"/>
    <w:basedOn w:val="Normal"/>
    <w:next w:val="Normal"/>
    <w:autoRedefine/>
    <w:uiPriority w:val="39"/>
    <w:unhideWhenUsed/>
    <w:rsid w:val="00EC197E"/>
    <w:pPr>
      <w:spacing w:after="100" w:line="276" w:lineRule="auto"/>
      <w:ind w:left="240"/>
      <w:jc w:val="both"/>
    </w:pPr>
    <w:rPr>
      <w:rFonts w:ascii="Arial" w:cs="Times New Roman" w:eastAsia="Times New Roman" w:hAnsi="Arial"/>
      <w:sz w:val="22"/>
      <w:szCs w:val="22"/>
    </w:rPr>
  </w:style>
  <w:style w:styleId="TOC3" w:type="paragraph">
    <w:name w:val="toc 3"/>
    <w:basedOn w:val="Normal"/>
    <w:next w:val="Normal"/>
    <w:autoRedefine/>
    <w:uiPriority w:val="39"/>
    <w:unhideWhenUsed/>
    <w:rsid w:val="00EC197E"/>
    <w:pPr>
      <w:spacing w:after="100" w:line="276" w:lineRule="auto"/>
      <w:ind w:left="480"/>
      <w:jc w:val="both"/>
    </w:pPr>
    <w:rPr>
      <w:rFonts w:ascii="Arial" w:cs="Times New Roman" w:eastAsia="Times New Roman" w:hAnsi="Arial"/>
      <w:sz w:val="22"/>
      <w:szCs w:val="22"/>
    </w:rPr>
  </w:style>
  <w:style w:styleId="IntenseEmphasis" w:type="character">
    <w:name w:val="Intense Emphasis"/>
    <w:uiPriority w:val="21"/>
    <w:qFormat/>
    <w:rsid w:val="00EC197E"/>
    <w:rPr>
      <w:b/>
      <w:bCs/>
      <w:i/>
      <w:iCs/>
      <w:color w:val="4F81BD"/>
    </w:rPr>
  </w:style>
  <w:style w:styleId="TableGrid" w:type="table">
    <w:name w:val="Table Grid"/>
    <w:basedOn w:val="TableNormal"/>
    <w:uiPriority w:val="59"/>
    <w:rsid w:val="00EC197E"/>
    <w:pPr>
      <w:spacing w:after="240"/>
    </w:pPr>
    <w:rPr>
      <w:rFonts w:ascii="Times New Roman" w:cs="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ommentReference" w:type="character">
    <w:name w:val="annotation reference"/>
    <w:uiPriority w:val="99"/>
    <w:semiHidden/>
    <w:unhideWhenUsed/>
    <w:rsid w:val="00EC197E"/>
    <w:rPr>
      <w:sz w:val="16"/>
      <w:szCs w:val="16"/>
    </w:rPr>
  </w:style>
  <w:style w:styleId="CommentText" w:type="paragraph">
    <w:name w:val="annotation text"/>
    <w:basedOn w:val="Normal"/>
    <w:link w:val="CommentTextChar"/>
    <w:uiPriority w:val="99"/>
    <w:semiHidden/>
    <w:unhideWhenUsed/>
    <w:rsid w:val="00EC197E"/>
    <w:pPr>
      <w:spacing w:line="276" w:lineRule="auto"/>
      <w:jc w:val="both"/>
    </w:pPr>
    <w:rPr>
      <w:rFonts w:ascii="Calibri" w:cs="Times New Roman" w:eastAsia="Times New Roman" w:hAnsi="Calibri"/>
      <w:sz w:val="20"/>
      <w:szCs w:val="20"/>
    </w:rPr>
  </w:style>
  <w:style w:customStyle="1" w:styleId="CommentTextChar" w:type="character">
    <w:name w:val="Comment Text Char"/>
    <w:basedOn w:val="DefaultParagraphFont"/>
    <w:link w:val="CommentText"/>
    <w:uiPriority w:val="99"/>
    <w:semiHidden/>
    <w:rsid w:val="00EC197E"/>
    <w:rPr>
      <w:rFonts w:ascii="Calibri" w:cs="Times New Roman" w:eastAsia="Times New Roman" w:hAnsi="Calibri"/>
      <w:sz w:val="20"/>
      <w:szCs w:val="20"/>
    </w:rPr>
  </w:style>
  <w:style w:styleId="SubtleEmphasis" w:type="character">
    <w:name w:val="Subtle Emphasis"/>
    <w:uiPriority w:val="19"/>
    <w:qFormat/>
    <w:rsid w:val="00EC197E"/>
    <w:rPr>
      <w:i/>
      <w:iCs/>
      <w:color w:val="808080"/>
    </w:rPr>
  </w:style>
  <w:style w:styleId="Strong" w:type="character">
    <w:name w:val="Strong"/>
    <w:uiPriority w:val="22"/>
    <w:qFormat/>
    <w:rsid w:val="00EC197E"/>
    <w:rPr>
      <w:b/>
      <w:bCs/>
    </w:rPr>
  </w:style>
  <w:style w:styleId="NormalWeb" w:type="paragraph">
    <w:name w:val="Normal (Web)"/>
    <w:basedOn w:val="Normal"/>
    <w:uiPriority w:val="99"/>
    <w:unhideWhenUsed/>
    <w:rsid w:val="00EC197E"/>
    <w:pPr>
      <w:spacing w:after="100" w:afterAutospacing="1" w:before="100" w:beforeAutospacing="1" w:line="276" w:lineRule="auto"/>
      <w:jc w:val="both"/>
    </w:pPr>
    <w:rPr>
      <w:rFonts w:ascii="Times" w:cs="Times New Roman" w:eastAsia="MS Mincho" w:hAnsi="Times"/>
      <w:sz w:val="20"/>
      <w:szCs w:val="20"/>
    </w:rPr>
  </w:style>
  <w:style w:styleId="CommentSubject" w:type="paragraph">
    <w:name w:val="annotation subject"/>
    <w:basedOn w:val="CommentText"/>
    <w:next w:val="CommentText"/>
    <w:link w:val="CommentSubjectChar"/>
    <w:uiPriority w:val="99"/>
    <w:semiHidden/>
    <w:unhideWhenUsed/>
    <w:rsid w:val="00EC197E"/>
    <w:pPr>
      <w:spacing w:after="240" w:line="240" w:lineRule="auto"/>
    </w:pPr>
    <w:rPr>
      <w:rFonts w:ascii="Times New Roman" w:hAnsi="Times New Roman"/>
      <w:b/>
      <w:bCs/>
    </w:rPr>
  </w:style>
  <w:style w:customStyle="1" w:styleId="CommentSubjectChar" w:type="character">
    <w:name w:val="Comment Subject Char"/>
    <w:basedOn w:val="CommentTextChar"/>
    <w:link w:val="CommentSubject"/>
    <w:uiPriority w:val="99"/>
    <w:semiHidden/>
    <w:rsid w:val="00EC197E"/>
    <w:rPr>
      <w:rFonts w:ascii="Times New Roman" w:cs="Times New Roman" w:eastAsia="Times New Roman" w:hAnsi="Times New Roman"/>
      <w:b/>
      <w:bCs/>
      <w:sz w:val="20"/>
      <w:szCs w:val="20"/>
    </w:rPr>
  </w:style>
  <w:style w:customStyle="1" w:styleId="Notes" w:type="paragraph">
    <w:name w:val="Notes"/>
    <w:basedOn w:val="Normal"/>
    <w:link w:val="NotesChar"/>
    <w:qFormat/>
    <w:rsid w:val="00EC197E"/>
    <w:pPr>
      <w:spacing w:after="120" w:before="120" w:line="276" w:lineRule="auto"/>
      <w:jc w:val="both"/>
    </w:pPr>
    <w:rPr>
      <w:rFonts w:ascii="Arial" w:cs="Times New Roman" w:eastAsia="Times New Roman" w:hAnsi="Arial"/>
      <w:sz w:val="22"/>
    </w:rPr>
  </w:style>
  <w:style w:customStyle="1" w:styleId="PlainTable11" w:type="table">
    <w:name w:val="Plain Table 11"/>
    <w:basedOn w:val="TableNormal"/>
    <w:uiPriority w:val="41"/>
    <w:rsid w:val="007E594F"/>
    <w:pPr>
      <w:keepNext/>
      <w:keepLines/>
      <w:spacing w:after="100" w:afterAutospacing="1" w:before="100" w:beforeAutospacing="1"/>
      <w:jc w:val="right"/>
    </w:pPr>
    <w:rPr>
      <w:rFonts w:ascii="Arial" w:cs="Arial" w:eastAsia="Times New Roman" w:hAnsi="Arial"/>
      <w:sz w:val="16"/>
    </w:rPr>
    <w:tblPr>
      <w:tblBorders>
        <w:top w:color="auto" w:space="0" w:sz="4" w:val="single"/>
        <w:bottom w:color="auto" w:space="0" w:sz="4" w:val="single"/>
      </w:tblBorders>
      <w:tblCellMar>
        <w:left w:type="dxa" w:w="115"/>
        <w:right w:type="dxa" w:w="115"/>
      </w:tblCellMar>
    </w:tblPr>
    <w:tcPr>
      <w:shd w:color="auto" w:fill="auto" w:val="clear"/>
      <w:vAlign w:val="center"/>
    </w:tcPr>
    <w:tblStylePr w:type="firstRow">
      <w:pPr>
        <w:wordWrap/>
        <w:spacing w:after="100" w:afterAutospacing="1" w:afterLines="0" w:before="100" w:beforeAutospacing="1" w:beforeLines="0"/>
        <w:jc w:val="center"/>
      </w:pPr>
      <w:rPr>
        <w:rFonts w:ascii="Arial" w:hAnsi="Arial"/>
        <w:b/>
        <w:bCs/>
        <w:sz w:val="20"/>
      </w:rPr>
      <w:tblPr/>
      <w:tcPr>
        <w:tcBorders>
          <w:top w:color="auto" w:space="0" w:sz="4" w:val="single"/>
          <w:bottom w:color="auto" w:space="0" w:sz="4" w:val="single"/>
        </w:tcBorders>
        <w:vAlign w:val="bottom"/>
      </w:tcPr>
    </w:tblStylePr>
    <w:tblStylePr w:type="lastRow">
      <w:rPr>
        <w:rFonts w:ascii="Arial" w:hAnsi="Arial"/>
        <w:b/>
        <w:bCs/>
        <w:i w:val="0"/>
        <w:sz w:val="20"/>
      </w:rPr>
      <w:tblPr/>
      <w:tcPr>
        <w:tcBorders>
          <w:top w:val="nil"/>
          <w:left w:val="nil"/>
          <w:bottom w:color="auto" w:space="0" w:sz="4" w:val="single"/>
          <w:right w:val="nil"/>
          <w:insideH w:val="nil"/>
          <w:insideV w:val="nil"/>
        </w:tcBorders>
        <w:shd w:color="auto" w:fill="auto" w:val="clear"/>
      </w:tcPr>
    </w:tblStylePr>
    <w:tblStylePr w:type="firstCol">
      <w:pPr>
        <w:jc w:val="left"/>
      </w:pPr>
      <w:rPr>
        <w:rFonts w:ascii="Arial" w:hAnsi="Arial"/>
        <w:b w:val="0"/>
        <w:bCs/>
        <w:sz w:val="20"/>
      </w:rPr>
    </w:tblStylePr>
    <w:tblStylePr w:type="lastCol">
      <w:rPr>
        <w:rFonts w:ascii="Arial" w:hAnsi="Arial"/>
        <w:b/>
        <w:bCs/>
        <w:sz w:val="20"/>
      </w:rPr>
    </w:tblStylePr>
  </w:style>
  <w:style w:customStyle="1" w:styleId="NotesChar" w:type="character">
    <w:name w:val="Notes Char"/>
    <w:basedOn w:val="DefaultParagraphFont"/>
    <w:link w:val="Notes"/>
    <w:rsid w:val="00EC197E"/>
    <w:rPr>
      <w:rFonts w:ascii="Arial" w:cs="Times New Roman" w:eastAsia="Times New Roman" w:hAnsi="Arial"/>
      <w:sz w:val="22"/>
    </w:rPr>
  </w:style>
  <w:style w:styleId="PlainTable1" w:type="table">
    <w:name w:val="Plain Table 1"/>
    <w:aliases w:val="Tech Memo Table"/>
    <w:basedOn w:val="TableNormal"/>
    <w:uiPriority w:val="41"/>
    <w:rsid w:val="00EC197E"/>
    <w:pPr>
      <w:spacing w:after="240"/>
      <w:jc w:val="right"/>
    </w:pPr>
    <w:rPr>
      <w:rFonts w:ascii="Times New Roman" w:cs="Times New Roman" w:eastAsia="Times New Roman" w:hAnsi="Times New Roman"/>
    </w:rPr>
    <w:tblPr>
      <w:tblStyleRowBandSize w:val="1"/>
      <w:tblStyleColBandSize w:val="1"/>
      <w:jc w:val="center"/>
      <w:tblBorders>
        <w:top w:color="auto" w:space="0" w:sz="4" w:val="single"/>
        <w:bottom w:color="auto" w:space="0" w:sz="4" w:val="single"/>
      </w:tblBorders>
    </w:tblPr>
    <w:trPr>
      <w:jc w:val="center"/>
    </w:trPr>
    <w:tcPr>
      <w:vAlign w:val="center"/>
    </w:tcPr>
    <w:tblStylePr w:type="firstRow">
      <w:pPr>
        <w:jc w:val="center"/>
      </w:pPr>
      <w:rPr>
        <w:rFonts w:ascii="Times New Roman" w:hAnsi="Times New Roman"/>
        <w:b/>
        <w:bCs/>
        <w:sz w:val="24"/>
      </w:rPr>
      <w:tblPr/>
      <w:tcPr>
        <w:tcBorders>
          <w:top w:color="auto" w:space="0" w:sz="4" w:val="single"/>
          <w:left w:val="nil"/>
          <w:bottom w:color="auto" w:space="0" w:sz="4" w:val="single"/>
          <w:right w:val="nil"/>
          <w:insideH w:val="nil"/>
          <w:insideV w:val="nil"/>
        </w:tcBorders>
        <w:vAlign w:val="bottom"/>
      </w:tcPr>
    </w:tblStylePr>
    <w:tblStylePr w:type="lastRow">
      <w:rPr>
        <w:rFonts w:ascii="Times New Roman" w:hAnsi="Times New Roman"/>
        <w:b/>
        <w:bCs/>
        <w:sz w:val="24"/>
      </w:rPr>
      <w:tblPr/>
      <w:tcPr>
        <w:tcBorders>
          <w:top w:val="nil"/>
          <w:bottom w:color="auto" w:space="0" w:sz="4" w:val="single"/>
        </w:tcBorders>
      </w:tcPr>
    </w:tblStylePr>
    <w:tblStylePr w:type="firstCol">
      <w:pPr>
        <w:jc w:val="left"/>
      </w:pPr>
      <w:rPr>
        <w:rFonts w:ascii="Times New Roman" w:hAnsi="Times New Roman"/>
        <w:b w:val="0"/>
        <w:bCs/>
        <w:sz w:val="24"/>
      </w:rPr>
      <w:tblPr/>
      <w:tcPr>
        <w:vAlign w:val="top"/>
      </w:tcPr>
    </w:tblStylePr>
    <w:tblStylePr w:type="lastCol">
      <w:rPr>
        <w:rFonts w:ascii="Times New Roman" w:hAnsi="Times New Roman"/>
        <w:b w:val="0"/>
        <w:bCs/>
        <w:sz w:val="24"/>
      </w:rPr>
    </w:tblStylePr>
    <w:tblStylePr w:type="band1Vert">
      <w:rPr>
        <w:rFonts w:ascii="Times New Roman" w:hAnsi="Times New Roman"/>
        <w:sz w:val="24"/>
      </w:rPr>
    </w:tblStylePr>
    <w:tblStylePr w:type="band1Horz">
      <w:rPr>
        <w:rFonts w:ascii="Times New Roman" w:hAnsi="Times New Roman"/>
        <w:sz w:val="24"/>
      </w:rPr>
    </w:tblStylePr>
    <w:tblStylePr w:type="band2Horz">
      <w:rPr>
        <w:rFonts w:ascii="Times New Roman" w:hAnsi="Times New Roman"/>
        <w:sz w:val="24"/>
      </w:rPr>
    </w:tblStylePr>
  </w:style>
  <w:style w:styleId="TableofFigures" w:type="paragraph">
    <w:name w:val="table of figures"/>
    <w:basedOn w:val="Normal"/>
    <w:next w:val="Normal"/>
    <w:link w:val="TableofFiguresChar"/>
    <w:uiPriority w:val="99"/>
    <w:unhideWhenUsed/>
    <w:rsid w:val="00EC197E"/>
    <w:pPr>
      <w:spacing w:after="0" w:line="276" w:lineRule="auto"/>
      <w:ind w:hanging="720" w:left="720"/>
      <w:jc w:val="both"/>
    </w:pPr>
    <w:rPr>
      <w:rFonts w:ascii="Arial" w:cs="Times New Roman" w:eastAsia="Times New Roman" w:hAnsi="Arial"/>
      <w:sz w:val="22"/>
      <w:szCs w:val="22"/>
    </w:rPr>
  </w:style>
  <w:style w:customStyle="1" w:styleId="ListofTablesFigures" w:type="paragraph">
    <w:name w:val="List of Tables/Figures"/>
    <w:basedOn w:val="TableofFigures"/>
    <w:link w:val="ListofTablesFiguresChar"/>
    <w:qFormat/>
    <w:rsid w:val="00EC197E"/>
    <w:pPr>
      <w:tabs>
        <w:tab w:leader="dot" w:pos="9350" w:val="right"/>
      </w:tabs>
    </w:pPr>
    <w:rPr>
      <w:noProof/>
    </w:rPr>
  </w:style>
  <w:style w:customStyle="1" w:styleId="TableofFiguresChar" w:type="character">
    <w:name w:val="Table of Figures Char"/>
    <w:basedOn w:val="DefaultParagraphFont"/>
    <w:link w:val="TableofFigures"/>
    <w:uiPriority w:val="99"/>
    <w:rsid w:val="00EC197E"/>
    <w:rPr>
      <w:rFonts w:ascii="Arial" w:cs="Times New Roman" w:eastAsia="Times New Roman" w:hAnsi="Arial"/>
      <w:sz w:val="22"/>
      <w:szCs w:val="22"/>
    </w:rPr>
  </w:style>
  <w:style w:customStyle="1" w:styleId="ListofTablesFiguresChar" w:type="character">
    <w:name w:val="List of Tables/Figures Char"/>
    <w:basedOn w:val="TableofFiguresChar"/>
    <w:link w:val="ListofTablesFigures"/>
    <w:rsid w:val="00EC197E"/>
    <w:rPr>
      <w:rFonts w:ascii="Arial" w:cs="Times New Roman" w:eastAsia="Times New Roman" w:hAnsi="Arial"/>
      <w:noProof/>
      <w:sz w:val="22"/>
      <w:szCs w:val="22"/>
    </w:rPr>
  </w:style>
  <w:style w:styleId="ListParagraph" w:type="paragraph">
    <w:name w:val="List Paragraph"/>
    <w:basedOn w:val="Normal"/>
    <w:uiPriority w:val="34"/>
    <w:qFormat/>
    <w:rsid w:val="00EC197E"/>
    <w:pPr>
      <w:spacing w:after="240" w:line="276" w:lineRule="auto"/>
      <w:ind w:left="720"/>
      <w:contextualSpacing/>
      <w:jc w:val="both"/>
    </w:pPr>
    <w:rPr>
      <w:rFonts w:ascii="Arial" w:cs="Times New Roman" w:eastAsia="Times New Roman" w:hAnsi="Arial"/>
      <w:sz w:val="22"/>
      <w:szCs w:val="22"/>
    </w:rPr>
  </w:style>
  <w:style w:customStyle="1" w:styleId="AppxHeading" w:type="paragraph">
    <w:name w:val="Appx Heading"/>
    <w:basedOn w:val="Heading1"/>
    <w:next w:val="Normal"/>
    <w:qFormat/>
    <w:rsid w:val="00EC197E"/>
    <w:pPr>
      <w:keepLines w:val="0"/>
      <w:pageBreakBefore/>
      <w:numPr>
        <w:numId w:val="14"/>
      </w:numPr>
      <w:spacing w:after="240" w:before="240" w:line="276" w:lineRule="auto"/>
      <w:jc w:val="center"/>
    </w:pPr>
    <w:rPr>
      <w:rFonts w:cs="Times New Roman" w:eastAsia="Times New Roman"/>
      <w:bCs w:val="0"/>
      <w:szCs w:val="24"/>
    </w:rPr>
  </w:style>
  <w:style w:styleId="PlaceholderText" w:type="character">
    <w:name w:val="Placeholder Text"/>
    <w:basedOn w:val="DefaultParagraphFont"/>
    <w:uiPriority w:val="99"/>
    <w:semiHidden/>
    <w:rsid w:val="00EC197E"/>
    <w:rPr>
      <w:color w:val="808080"/>
    </w:rPr>
  </w:style>
  <w:style w:customStyle="1" w:styleId="StyleHeading1After6pt" w:type="paragraph">
    <w:name w:val="Style Heading 1 + After:  6 pt"/>
    <w:basedOn w:val="Heading1"/>
    <w:rsid w:val="00EC197E"/>
    <w:pPr>
      <w:keepLines w:val="0"/>
      <w:pageBreakBefore/>
      <w:spacing w:after="120" w:before="240" w:line="276" w:lineRule="auto"/>
      <w:jc w:val="both"/>
    </w:pPr>
    <w:rPr>
      <w:rFonts w:cs="Times New Roman" w:eastAsia="Times New Roman"/>
      <w:szCs w:val="20"/>
    </w:rPr>
  </w:style>
  <w:style w:customStyle="1" w:styleId="Heading7Char" w:type="character">
    <w:name w:val="Heading 7 Char"/>
    <w:basedOn w:val="DefaultParagraphFont"/>
    <w:link w:val="Heading7"/>
    <w:uiPriority w:val="9"/>
    <w:rsid w:val="00EC197E"/>
    <w:rPr>
      <w:rFonts w:asciiTheme="majorHAnsi" w:cstheme="majorBidi" w:eastAsiaTheme="majorEastAsia" w:hAnsiTheme="majorHAnsi"/>
      <w:color w:themeColor="accent1" w:val="4F81BD"/>
    </w:rPr>
  </w:style>
  <w:style w:customStyle="1" w:styleId="Heading8Char" w:type="character">
    <w:name w:val="Heading 8 Char"/>
    <w:basedOn w:val="DefaultParagraphFont"/>
    <w:link w:val="Heading8"/>
    <w:uiPriority w:val="9"/>
    <w:rsid w:val="00EC197E"/>
    <w:rPr>
      <w:rFonts w:asciiTheme="majorHAnsi" w:cstheme="majorBidi" w:eastAsiaTheme="majorEastAsia" w:hAnsiTheme="majorHAnsi"/>
      <w:color w:themeColor="accent1" w:val="4F81BD"/>
    </w:rPr>
  </w:style>
  <w:style w:customStyle="1" w:styleId="Heading9Char" w:type="character">
    <w:name w:val="Heading 9 Char"/>
    <w:basedOn w:val="DefaultParagraphFont"/>
    <w:link w:val="Heading9"/>
    <w:uiPriority w:val="9"/>
    <w:rsid w:val="00EC197E"/>
    <w:rPr>
      <w:rFonts w:asciiTheme="majorHAnsi" w:cstheme="majorBidi" w:eastAsiaTheme="majorEastAsia" w:hAnsiTheme="majorHAnsi"/>
      <w:color w:themeColor="accent1" w:val="4F81BD"/>
    </w:rPr>
  </w:style>
  <w:style w:customStyle="1" w:styleId="FootnoteTextChar" w:type="character">
    <w:name w:val="Footnote Text Char"/>
    <w:basedOn w:val="DefaultParagraphFont"/>
    <w:link w:val="FootnoteText"/>
    <w:uiPriority w:val="99"/>
    <w:rsid w:val="00EC197E"/>
  </w:style>
  <w:style w:styleId="FollowedHyperlink" w:type="character">
    <w:name w:val="FollowedHyperlink"/>
    <w:basedOn w:val="DefaultParagraphFont"/>
    <w:uiPriority w:val="99"/>
    <w:unhideWhenUsed/>
    <w:rsid w:val="00EC197E"/>
    <w:rPr>
      <w:color w:val="800080"/>
      <w:u w:val="single"/>
    </w:rPr>
  </w:style>
  <w:style w:customStyle="1" w:styleId="msonormal0" w:type="paragraph">
    <w:name w:val="msonormal"/>
    <w:basedOn w:val="Normal"/>
    <w:rsid w:val="00EC197E"/>
    <w:pPr>
      <w:spacing w:after="100" w:afterAutospacing="1" w:before="100" w:beforeAutospacing="1"/>
    </w:pPr>
    <w:rPr>
      <w:rFonts w:ascii="Times New Roman" w:cs="Times New Roman" w:eastAsia="Times New Roman" w:hAnsi="Times New Roman"/>
    </w:rPr>
  </w:style>
  <w:style w:customStyle="1" w:styleId="xl65" w:type="paragraph">
    <w:name w:val="xl65"/>
    <w:basedOn w:val="Normal"/>
    <w:rsid w:val="00EC197E"/>
    <w:pPr>
      <w:spacing w:after="100" w:afterAutospacing="1" w:before="100" w:beforeAutospacing="1"/>
      <w:jc w:val="center"/>
      <w:textAlignment w:val="center"/>
    </w:pPr>
    <w:rPr>
      <w:rFonts w:ascii="Times New Roman" w:cs="Times New Roman" w:eastAsia="Times New Roman" w:hAnsi="Times New Roman"/>
      <w:sz w:val="16"/>
      <w:szCs w:val="16"/>
    </w:rPr>
  </w:style>
  <w:style w:customStyle="1" w:styleId="xl66" w:type="paragraph">
    <w:name w:val="xl66"/>
    <w:basedOn w:val="Normal"/>
    <w:rsid w:val="00EC197E"/>
    <w:pPr>
      <w:spacing w:after="100" w:afterAutospacing="1" w:before="100" w:beforeAutospacing="1"/>
    </w:pPr>
    <w:rPr>
      <w:rFonts w:ascii="Times New Roman" w:cs="Times New Roman" w:eastAsia="Times New Roman" w:hAnsi="Times New Roman"/>
      <w:sz w:val="16"/>
      <w:szCs w:val="16"/>
    </w:rPr>
  </w:style>
  <w:style w:customStyle="1" w:styleId="NoSpacing1" w:type="paragraph">
    <w:name w:val="No Spacing1"/>
    <w:basedOn w:val="Normal"/>
    <w:next w:val="NoSpacing"/>
    <w:uiPriority w:val="1"/>
    <w:qFormat/>
    <w:rsid w:val="00EC197E"/>
    <w:pPr>
      <w:spacing w:after="0"/>
    </w:pPr>
    <w:rPr>
      <w:rFonts w:ascii="Arial" w:hAnsi="Arial"/>
      <w:szCs w:val="22"/>
    </w:rPr>
  </w:style>
  <w:style w:customStyle="1" w:styleId="TableText" w:type="paragraph">
    <w:name w:val="Table_Text"/>
    <w:uiPriority w:val="1"/>
    <w:qFormat/>
    <w:rsid w:val="00EC197E"/>
    <w:pPr>
      <w:spacing w:after="0"/>
    </w:pPr>
    <w:rPr>
      <w:rFonts w:ascii="Arial" w:hAnsi="Arial"/>
      <w:sz w:val="16"/>
      <w:szCs w:val="22"/>
    </w:rPr>
  </w:style>
  <w:style w:customStyle="1" w:styleId="TableText2" w:type="paragraph">
    <w:name w:val="Table_Text2"/>
    <w:basedOn w:val="Normal"/>
    <w:uiPriority w:val="1"/>
    <w:qFormat/>
    <w:rsid w:val="00EC197E"/>
    <w:pPr>
      <w:spacing w:after="240"/>
    </w:pPr>
    <w:rPr>
      <w:rFonts w:ascii="Arial" w:cs="Times New Roman" w:eastAsia="Calibri" w:hAnsi="Arial"/>
      <w:sz w:val="22"/>
      <w:szCs w:val="22"/>
    </w:rPr>
  </w:style>
  <w:style w:styleId="NoSpacing" w:type="paragraph">
    <w:name w:val="No Spacing"/>
    <w:rsid w:val="00EC197E"/>
    <w:pPr>
      <w:spacing w:after="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84" Target="media/rId84.png" /><Relationship Type="http://schemas.openxmlformats.org/officeDocument/2006/relationships/image" Id="rId56" Target="media/rId56.png" /><Relationship Type="http://schemas.openxmlformats.org/officeDocument/2006/relationships/image" Id="rId48" Target="media/rId48.png" /><Relationship Type="http://schemas.openxmlformats.org/officeDocument/2006/relationships/image" Id="rId72" Target="media/rId72.png" /><Relationship Type="http://schemas.openxmlformats.org/officeDocument/2006/relationships/image" Id="rId68" Target="media/rId68.png" /><Relationship Type="http://schemas.openxmlformats.org/officeDocument/2006/relationships/image" Id="rId60" Target="media/rId60.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52" Target="media/rId5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64" Target="media/rId6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National Marine Fisheries Service</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Species figures and tables</dc:title>
  <dc:creator>Marc Nadon and Meg Oshima</dc:creator>
  <cp:keywords/>
  <dcterms:created xsi:type="dcterms:W3CDTF">2023-02-28T02:00:57Z</dcterms:created>
  <dcterms:modified xsi:type="dcterms:W3CDTF">2023-02-28T02:00:57Z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params">
    <vt:lpwstr/>
  </property>
  <property fmtid="{D5CDD505-2E9C-101B-9397-08002B2CF9AE}" pid="10" name="toc-title">
    <vt:lpwstr>Table of contents</vt:lpwstr>
  </property>
</Properties>
</file>