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0D637" w14:textId="2D11178F" w:rsidR="006500AD" w:rsidRPr="00F559F1" w:rsidRDefault="00F559F1" w:rsidP="00F559F1">
      <w:pPr>
        <w:jc w:val="center"/>
        <w:rPr>
          <w:rFonts w:ascii="Cambria Math" w:hAnsi="Cambria Math"/>
          <w:b/>
          <w:bCs/>
          <w:sz w:val="34"/>
          <w:szCs w:val="34"/>
          <w:lang w:val="it-IT"/>
        </w:rPr>
      </w:pPr>
      <w:r w:rsidRPr="00F559F1">
        <w:rPr>
          <w:rFonts w:ascii="Cambria Math" w:hAnsi="Cambria Math"/>
          <w:b/>
          <w:bCs/>
          <w:sz w:val="34"/>
          <w:szCs w:val="34"/>
          <w:lang w:val="it-IT"/>
        </w:rPr>
        <w:t>PNRR</w:t>
      </w:r>
      <w:r w:rsidR="002D0E19">
        <w:rPr>
          <w:rFonts w:ascii="Cambria Math" w:hAnsi="Cambria Math"/>
          <w:b/>
          <w:bCs/>
          <w:sz w:val="34"/>
          <w:szCs w:val="34"/>
          <w:lang w:val="it-IT"/>
        </w:rPr>
        <w:t xml:space="preserve"> – Come vogliamo spendere questi soldi?</w:t>
      </w:r>
    </w:p>
    <w:p w14:paraId="28EA0F02" w14:textId="77777777" w:rsidR="00F559F1" w:rsidRPr="00F559F1" w:rsidRDefault="00F559F1" w:rsidP="00F559F1">
      <w:pPr>
        <w:jc w:val="center"/>
        <w:rPr>
          <w:rFonts w:ascii="Cambria Math" w:hAnsi="Cambria Math"/>
          <w:b/>
          <w:bCs/>
          <w:sz w:val="34"/>
          <w:szCs w:val="34"/>
          <w:lang w:val="it-IT"/>
        </w:rPr>
      </w:pPr>
    </w:p>
    <w:p w14:paraId="7D5284C8" w14:textId="066454F9" w:rsidR="00F559F1" w:rsidRDefault="00F559F1" w:rsidP="00F559F1">
      <w:pPr>
        <w:rPr>
          <w:rFonts w:ascii="Cambria Math" w:hAnsi="Cambria Math"/>
          <w:sz w:val="30"/>
          <w:szCs w:val="30"/>
          <w:lang w:val="it-IT"/>
        </w:rPr>
      </w:pPr>
      <w:r w:rsidRPr="00F559F1">
        <w:rPr>
          <w:rFonts w:ascii="Cambria Math" w:hAnsi="Cambria Math"/>
          <w:sz w:val="30"/>
          <w:szCs w:val="30"/>
          <w:lang w:val="it-IT"/>
        </w:rPr>
        <w:t>La presidenza del Consi</w:t>
      </w:r>
      <w:r>
        <w:rPr>
          <w:rFonts w:ascii="Cambria Math" w:hAnsi="Cambria Math"/>
          <w:sz w:val="30"/>
          <w:szCs w:val="30"/>
          <w:lang w:val="it-IT"/>
        </w:rPr>
        <w:t xml:space="preserve">glio dei Ministri ha creato un sito apposito per informare i cittadini riguardo alle spese del più massiccio piano di investimenti pubblici della storia, il NextGen Eu, che qua in Italia abbiamo tradotto con </w:t>
      </w:r>
      <w:r w:rsidR="001913E5">
        <w:rPr>
          <w:rFonts w:ascii="Cambria Math" w:hAnsi="Cambria Math"/>
          <w:sz w:val="30"/>
          <w:szCs w:val="30"/>
          <w:lang w:val="it-IT"/>
        </w:rPr>
        <w:t>P</w:t>
      </w:r>
      <w:r>
        <w:rPr>
          <w:rFonts w:ascii="Cambria Math" w:hAnsi="Cambria Math"/>
          <w:sz w:val="30"/>
          <w:szCs w:val="30"/>
          <w:lang w:val="it-IT"/>
        </w:rPr>
        <w:t xml:space="preserve">iano </w:t>
      </w:r>
      <w:r w:rsidR="001913E5">
        <w:rPr>
          <w:rFonts w:ascii="Cambria Math" w:hAnsi="Cambria Math"/>
          <w:sz w:val="30"/>
          <w:szCs w:val="30"/>
          <w:lang w:val="it-IT"/>
        </w:rPr>
        <w:t>N</w:t>
      </w:r>
      <w:r>
        <w:rPr>
          <w:rFonts w:ascii="Cambria Math" w:hAnsi="Cambria Math"/>
          <w:sz w:val="30"/>
          <w:szCs w:val="30"/>
          <w:lang w:val="it-IT"/>
        </w:rPr>
        <w:t xml:space="preserve">azionale di </w:t>
      </w:r>
      <w:r w:rsidR="001913E5">
        <w:rPr>
          <w:rFonts w:ascii="Cambria Math" w:hAnsi="Cambria Math"/>
          <w:sz w:val="30"/>
          <w:szCs w:val="30"/>
          <w:lang w:val="it-IT"/>
        </w:rPr>
        <w:t>R</w:t>
      </w:r>
      <w:r>
        <w:rPr>
          <w:rFonts w:ascii="Cambria Math" w:hAnsi="Cambria Math"/>
          <w:sz w:val="30"/>
          <w:szCs w:val="30"/>
          <w:lang w:val="it-IT"/>
        </w:rPr>
        <w:t xml:space="preserve">ipresa e </w:t>
      </w:r>
      <w:r w:rsidR="001913E5">
        <w:rPr>
          <w:rFonts w:ascii="Cambria Math" w:hAnsi="Cambria Math"/>
          <w:sz w:val="30"/>
          <w:szCs w:val="30"/>
          <w:lang w:val="it-IT"/>
        </w:rPr>
        <w:t>R</w:t>
      </w:r>
      <w:r>
        <w:rPr>
          <w:rFonts w:ascii="Cambria Math" w:hAnsi="Cambria Math"/>
          <w:sz w:val="30"/>
          <w:szCs w:val="30"/>
          <w:lang w:val="it-IT"/>
        </w:rPr>
        <w:t>esilienza.</w:t>
      </w:r>
    </w:p>
    <w:p w14:paraId="026CEC5A" w14:textId="5726AAFA" w:rsidR="00F559F1" w:rsidRDefault="00F559F1" w:rsidP="00F559F1">
      <w:pPr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L’importo totale del piano è di 191,5 miliardi di euro, a cui vanno sommati i 30,6 miliardi derivanti dal </w:t>
      </w:r>
      <w:r w:rsidRPr="00F559F1"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 xml:space="preserve">Piano </w:t>
      </w:r>
      <w:r w:rsidR="004B405D"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>N</w:t>
      </w:r>
      <w:r w:rsidRPr="00F559F1"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>azionale per gli investimenti</w:t>
      </w:r>
      <w:r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 xml:space="preserve"> </w:t>
      </w:r>
      <w:r w:rsidRPr="00F559F1"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>complementari</w:t>
      </w:r>
      <w:r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 xml:space="preserve">, che sono a carico del Governo e che è stato deciso di unire per creare un grandissimo database dove si raccolgono tutti i numeri riguardanti questi due mastodontici </w:t>
      </w:r>
      <w:r w:rsidR="00472C76"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>insiemi</w:t>
      </w:r>
      <w:r>
        <w:rPr>
          <w:rFonts w:ascii="Cambria Math" w:hAnsi="Cambria Math"/>
          <w:color w:val="000000"/>
          <w:spacing w:val="-2"/>
          <w:sz w:val="30"/>
          <w:szCs w:val="30"/>
          <w:shd w:val="clear" w:color="auto" w:fill="FFFFFF"/>
          <w:lang w:val="it-IT"/>
        </w:rPr>
        <w:t xml:space="preserve"> di investimenti.</w:t>
      </w:r>
    </w:p>
    <w:p w14:paraId="67C42898" w14:textId="1F4B7F37" w:rsidR="00F559F1" w:rsidRDefault="00F559F1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È proprio da questi database che è partita la ricerca, per fare chiarezza intorno a quanti, dove, e come verranno spesi questi soldi. Questi dati si riferiscono alla stesura del Piano che è stata validata </w:t>
      </w:r>
      <w:r w:rsidR="004C0BB0">
        <w:rPr>
          <w:rFonts w:ascii="Cambria Math" w:hAnsi="Cambria Math"/>
          <w:sz w:val="30"/>
          <w:szCs w:val="30"/>
          <w:lang w:val="it-IT"/>
        </w:rPr>
        <w:t>al</w:t>
      </w:r>
      <w:r>
        <w:rPr>
          <w:rFonts w:ascii="Cambria Math" w:hAnsi="Cambria Math"/>
          <w:sz w:val="30"/>
          <w:szCs w:val="30"/>
          <w:lang w:val="it-IT"/>
        </w:rPr>
        <w:t>l’inizio dell’anno 2023</w:t>
      </w:r>
      <w:r w:rsidR="00C36CFD">
        <w:rPr>
          <w:rFonts w:ascii="Cambria Math" w:hAnsi="Cambria Math"/>
          <w:sz w:val="30"/>
          <w:szCs w:val="30"/>
          <w:lang w:val="it-IT"/>
        </w:rPr>
        <w:t>.</w:t>
      </w:r>
    </w:p>
    <w:p w14:paraId="05843684" w14:textId="1D51C226" w:rsidR="0005403B" w:rsidRDefault="002226CA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Lo</w:t>
      </w:r>
      <w:r w:rsidR="0005403B">
        <w:rPr>
          <w:rFonts w:ascii="Cambria Math" w:hAnsi="Cambria Math"/>
          <w:sz w:val="30"/>
          <w:szCs w:val="30"/>
          <w:lang w:val="it-IT"/>
        </w:rPr>
        <w:t xml:space="preserve"> stato delle cose al momento è una lunghissima lista di 51840 investimenti, dispiegati sul territorio nazionale, alcuni localizzati in un preciso comune, altri invece che corrono attraverso più zone territoriali.</w:t>
      </w:r>
    </w:p>
    <w:p w14:paraId="188C0891" w14:textId="2BA59428" w:rsidR="0005403B" w:rsidRDefault="0005403B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Dividere l’Italia nei suoi 7901 comuni</w:t>
      </w:r>
      <w:r w:rsidR="00685AD4">
        <w:rPr>
          <w:rFonts w:ascii="Cambria Math" w:hAnsi="Cambria Math"/>
          <w:sz w:val="30"/>
          <w:szCs w:val="30"/>
          <w:lang w:val="it-IT"/>
        </w:rPr>
        <w:t xml:space="preserve"> (sono 7615 quelli che hanno qualche investimento)</w:t>
      </w:r>
      <w:r>
        <w:rPr>
          <w:rFonts w:ascii="Cambria Math" w:hAnsi="Cambria Math"/>
          <w:sz w:val="30"/>
          <w:szCs w:val="30"/>
          <w:lang w:val="it-IT"/>
        </w:rPr>
        <w:t xml:space="preserve"> e cercare indici o indicatori per come questi investimenti sono stati divisi è impossibile con i dati che sono disponibili. Infatti, ogni qual volta </w:t>
      </w:r>
      <w:r w:rsidR="0070637B">
        <w:rPr>
          <w:rFonts w:ascii="Cambria Math" w:hAnsi="Cambria Math"/>
          <w:sz w:val="30"/>
          <w:szCs w:val="30"/>
          <w:lang w:val="it-IT"/>
        </w:rPr>
        <w:t>un progetto è</w:t>
      </w:r>
      <w:r>
        <w:rPr>
          <w:rFonts w:ascii="Cambria Math" w:hAnsi="Cambria Math"/>
          <w:sz w:val="30"/>
          <w:szCs w:val="30"/>
          <w:lang w:val="it-IT"/>
        </w:rPr>
        <w:t xml:space="preserve"> </w:t>
      </w:r>
      <w:r w:rsidR="0070637B">
        <w:rPr>
          <w:rFonts w:ascii="Cambria Math" w:hAnsi="Cambria Math"/>
          <w:sz w:val="30"/>
          <w:szCs w:val="30"/>
          <w:lang w:val="it-IT"/>
        </w:rPr>
        <w:t>diviso</w:t>
      </w:r>
      <w:r>
        <w:rPr>
          <w:rFonts w:ascii="Cambria Math" w:hAnsi="Cambria Math"/>
          <w:sz w:val="30"/>
          <w:szCs w:val="30"/>
          <w:lang w:val="it-IT"/>
        </w:rPr>
        <w:t xml:space="preserve"> in più comuni, non è disponibile l’ammontare di denaro destinato a ogni zona territoriale, ma solo l’ammontare totale legato al singolo investimento. L’unica soluzione possibile quindi (ed è stata quella applicata) è di dividere l’investimento in parti uguali tra tutte le zone coinvolte</w:t>
      </w:r>
      <w:r w:rsidR="00685AD4">
        <w:rPr>
          <w:rFonts w:ascii="Cambria Math" w:hAnsi="Cambria Math"/>
          <w:sz w:val="30"/>
          <w:szCs w:val="30"/>
          <w:lang w:val="it-IT"/>
        </w:rPr>
        <w:t xml:space="preserve">. Questo approccio è troppo semplificativo, e porta ad avere un indice </w:t>
      </w:r>
      <w:r w:rsidR="00685AD4" w:rsidRPr="00685AD4">
        <w:rPr>
          <w:rFonts w:ascii="Cambria Math" w:hAnsi="Cambria Math"/>
          <w:i/>
          <w:iCs/>
          <w:sz w:val="30"/>
          <w:szCs w:val="30"/>
          <w:lang w:val="it-IT"/>
        </w:rPr>
        <w:t>investimento per numero di abitanti</w:t>
      </w:r>
      <w:r w:rsidR="00685AD4">
        <w:rPr>
          <w:rFonts w:ascii="Cambria Math" w:hAnsi="Cambria Math"/>
          <w:i/>
          <w:iCs/>
          <w:sz w:val="30"/>
          <w:szCs w:val="30"/>
          <w:lang w:val="it-IT"/>
        </w:rPr>
        <w:t xml:space="preserve"> </w:t>
      </w:r>
      <w:r w:rsidR="00685AD4">
        <w:rPr>
          <w:rFonts w:ascii="Cambria Math" w:hAnsi="Cambria Math"/>
          <w:sz w:val="30"/>
          <w:szCs w:val="30"/>
          <w:lang w:val="it-IT"/>
        </w:rPr>
        <w:t>che è altalenante tra piccoli comuni con un indice altissimo e comuni più grandi con un indice molto basso.</w:t>
      </w:r>
    </w:p>
    <w:p w14:paraId="2908B921" w14:textId="53861F8B" w:rsidR="00685AD4" w:rsidRDefault="00685AD4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La divisone per provincie invece è </w:t>
      </w:r>
      <w:r w:rsidR="00BA3550">
        <w:rPr>
          <w:rFonts w:ascii="Cambria Math" w:hAnsi="Cambria Math"/>
          <w:sz w:val="30"/>
          <w:szCs w:val="30"/>
          <w:lang w:val="it-IT"/>
        </w:rPr>
        <w:t>meno sensibile a questo problema, e produce dei risultati che sono rilevanti.</w:t>
      </w:r>
    </w:p>
    <w:p w14:paraId="3423F655" w14:textId="7C94BFAC" w:rsidR="00BA3550" w:rsidRDefault="00BA3550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Considerando ogni tipo di investimento, il </w:t>
      </w:r>
      <w:r w:rsidR="008A1352">
        <w:rPr>
          <w:rFonts w:ascii="Cambria Math" w:hAnsi="Cambria Math"/>
          <w:sz w:val="30"/>
          <w:szCs w:val="30"/>
          <w:lang w:val="it-IT"/>
        </w:rPr>
        <w:t xml:space="preserve">primo </w:t>
      </w:r>
      <w:r>
        <w:rPr>
          <w:rFonts w:ascii="Cambria Math" w:hAnsi="Cambria Math"/>
          <w:sz w:val="30"/>
          <w:szCs w:val="30"/>
          <w:lang w:val="it-IT"/>
        </w:rPr>
        <w:t xml:space="preserve">risultato è che ogni cittadino in più in una provincia assegna circa 600 euro di investimenti in </w:t>
      </w:r>
      <w:r>
        <w:rPr>
          <w:rFonts w:ascii="Cambria Math" w:hAnsi="Cambria Math"/>
          <w:sz w:val="30"/>
          <w:szCs w:val="30"/>
          <w:lang w:val="it-IT"/>
        </w:rPr>
        <w:lastRenderedPageBreak/>
        <w:t>più</w:t>
      </w:r>
      <w:r w:rsidR="008A1352">
        <w:rPr>
          <w:rFonts w:ascii="Cambria Math" w:hAnsi="Cambria Math"/>
          <w:sz w:val="30"/>
          <w:szCs w:val="30"/>
          <w:lang w:val="it-IT"/>
        </w:rPr>
        <w:t>.</w:t>
      </w:r>
      <w:r w:rsidR="00540EAE">
        <w:rPr>
          <w:rFonts w:ascii="Cambria Math" w:hAnsi="Cambria Math"/>
          <w:sz w:val="30"/>
          <w:szCs w:val="30"/>
          <w:lang w:val="it-IT"/>
        </w:rPr>
        <w:t xml:space="preserve"> </w:t>
      </w:r>
      <w:r w:rsidR="008A1352">
        <w:rPr>
          <w:rFonts w:ascii="Cambria Math" w:hAnsi="Cambria Math"/>
          <w:sz w:val="30"/>
          <w:szCs w:val="30"/>
          <w:lang w:val="it-IT"/>
        </w:rPr>
        <w:t>I</w:t>
      </w:r>
      <w:r w:rsidR="0067264E">
        <w:rPr>
          <w:rFonts w:ascii="Cambria Math" w:hAnsi="Cambria Math"/>
          <w:sz w:val="30"/>
          <w:szCs w:val="30"/>
          <w:lang w:val="it-IT"/>
        </w:rPr>
        <w:t xml:space="preserve"> </w:t>
      </w:r>
      <w:r w:rsidR="001B7B73">
        <w:rPr>
          <w:rFonts w:ascii="Cambria Math" w:hAnsi="Cambria Math"/>
          <w:sz w:val="30"/>
          <w:szCs w:val="30"/>
          <w:lang w:val="it-IT"/>
        </w:rPr>
        <w:t>finanziamenti sembrano distribuiti lungo tutta la penisola</w:t>
      </w:r>
      <w:r w:rsidR="00AD51D7">
        <w:rPr>
          <w:rFonts w:ascii="Cambria Math" w:hAnsi="Cambria Math"/>
          <w:sz w:val="30"/>
          <w:szCs w:val="30"/>
          <w:lang w:val="it-IT"/>
        </w:rPr>
        <w:t xml:space="preserve"> equamente</w:t>
      </w:r>
      <w:r w:rsidR="008A1352">
        <w:rPr>
          <w:rFonts w:ascii="Cambria Math" w:hAnsi="Cambria Math"/>
          <w:sz w:val="30"/>
          <w:szCs w:val="30"/>
          <w:lang w:val="it-IT"/>
        </w:rPr>
        <w:t>, con una leggera concentrazione maggiore ne Sud Italia</w:t>
      </w:r>
      <w:r>
        <w:rPr>
          <w:rFonts w:ascii="Cambria Math" w:hAnsi="Cambria Math"/>
          <w:sz w:val="30"/>
          <w:szCs w:val="30"/>
          <w:lang w:val="it-IT"/>
        </w:rPr>
        <w:t>.</w:t>
      </w:r>
    </w:p>
    <w:p w14:paraId="290640A1" w14:textId="640D39C3" w:rsidR="00BA3550" w:rsidRPr="00CD49B9" w:rsidRDefault="00BA3550" w:rsidP="00F559F1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Le </w:t>
      </w:r>
      <w:r w:rsidR="00CD49B9">
        <w:rPr>
          <w:rFonts w:ascii="Cambria Math" w:hAnsi="Cambria Math"/>
          <w:sz w:val="30"/>
          <w:szCs w:val="30"/>
          <w:lang w:val="it-IT"/>
        </w:rPr>
        <w:t xml:space="preserve">analisi più interessanti però sono fatte dividendo i vari tipi di </w:t>
      </w:r>
      <w:r w:rsidR="00CD49B9" w:rsidRPr="00CD49B9">
        <w:rPr>
          <w:rFonts w:ascii="Cambria Math" w:hAnsi="Cambria Math"/>
          <w:sz w:val="30"/>
          <w:szCs w:val="30"/>
          <w:lang w:val="it-IT"/>
        </w:rPr>
        <w:t>investimento; infatti, il PNRR si differenzia in sei missioni:</w:t>
      </w:r>
    </w:p>
    <w:p w14:paraId="02304D5B" w14:textId="58CBF0C0" w:rsidR="00CD49B9" w:rsidRPr="00CD49B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M1: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Digitalizzazione, innovazione, competitività, cultura e turismo.</w:t>
      </w:r>
    </w:p>
    <w:p w14:paraId="751F272C" w14:textId="0092F55E" w:rsidR="00CD49B9" w:rsidRPr="00CD49B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M2: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Rivoluzione verde e transizione ecologica.</w:t>
      </w:r>
    </w:p>
    <w:p w14:paraId="6F8A27BC" w14:textId="4377DDEE" w:rsidR="00CD49B9" w:rsidRPr="00CD49B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M3: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Infrastrutture per una mobilità sostenibile.</w:t>
      </w:r>
    </w:p>
    <w:p w14:paraId="3B05E667" w14:textId="70A4FAB6" w:rsidR="00CD49B9" w:rsidRPr="00CD49B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M4: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Istruzione e ricerca.</w:t>
      </w:r>
    </w:p>
    <w:p w14:paraId="58822B3E" w14:textId="679A7345" w:rsidR="00CD49B9" w:rsidRPr="00CD49B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M5: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Coesione e inclusione.</w:t>
      </w:r>
    </w:p>
    <w:p w14:paraId="298E382C" w14:textId="1E1F368A" w:rsidR="003B7C99" w:rsidRPr="003B7C99" w:rsidRDefault="00CD49B9" w:rsidP="00CD49B9">
      <w:pPr>
        <w:pStyle w:val="ListParagraph"/>
        <w:numPr>
          <w:ilvl w:val="0"/>
          <w:numId w:val="1"/>
        </w:numPr>
        <w:rPr>
          <w:rFonts w:ascii="Cambria Math" w:hAnsi="Cambria Math"/>
          <w:sz w:val="30"/>
          <w:szCs w:val="30"/>
          <w:lang w:val="it-IT"/>
        </w:rPr>
      </w:pPr>
      <w:r w:rsidRPr="00CD49B9">
        <w:rPr>
          <w:rFonts w:ascii="Cambria Math" w:hAnsi="Cambria Math"/>
          <w:sz w:val="30"/>
          <w:szCs w:val="30"/>
          <w:lang w:val="it-IT"/>
        </w:rPr>
        <w:t xml:space="preserve">M6: </w:t>
      </w:r>
      <w:r w:rsidRPr="00CD49B9">
        <w:rPr>
          <w:rFonts w:ascii="Cambria Math" w:hAnsi="Cambria Math" w:cs="Arial"/>
          <w:color w:val="202124"/>
          <w:sz w:val="30"/>
          <w:szCs w:val="30"/>
          <w:shd w:val="clear" w:color="auto" w:fill="FFFFFF"/>
          <w:lang w:val="it-IT"/>
        </w:rPr>
        <w:t>Salute.</w:t>
      </w:r>
    </w:p>
    <w:p w14:paraId="525C96DC" w14:textId="28AC1376" w:rsidR="003B7C99" w:rsidRDefault="00FE5EAB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A primo impatto, si vede subito che gli investimenti </w:t>
      </w:r>
      <w:r w:rsidR="001B7B73">
        <w:rPr>
          <w:rFonts w:ascii="Cambria Math" w:hAnsi="Cambria Math"/>
          <w:sz w:val="30"/>
          <w:szCs w:val="30"/>
          <w:lang w:val="it-IT"/>
        </w:rPr>
        <w:t>più ingenti</w:t>
      </w:r>
      <w:r>
        <w:rPr>
          <w:rFonts w:ascii="Cambria Math" w:hAnsi="Cambria Math"/>
          <w:sz w:val="30"/>
          <w:szCs w:val="30"/>
          <w:lang w:val="it-IT"/>
        </w:rPr>
        <w:t xml:space="preserve"> sono dedicat</w:t>
      </w:r>
      <w:r w:rsidR="001B7B73">
        <w:rPr>
          <w:rFonts w:ascii="Cambria Math" w:hAnsi="Cambria Math"/>
          <w:sz w:val="30"/>
          <w:szCs w:val="30"/>
          <w:lang w:val="it-IT"/>
        </w:rPr>
        <w:t>i</w:t>
      </w:r>
      <w:r>
        <w:rPr>
          <w:rFonts w:ascii="Cambria Math" w:hAnsi="Cambria Math"/>
          <w:sz w:val="30"/>
          <w:szCs w:val="30"/>
          <w:lang w:val="it-IT"/>
        </w:rPr>
        <w:t xml:space="preserve"> alla seconda missione, e che invece la terza è sfruttata solo da una minorità delle provincie, </w:t>
      </w:r>
      <w:r w:rsidR="00E21CA4">
        <w:rPr>
          <w:rFonts w:ascii="Cambria Math" w:hAnsi="Cambria Math"/>
          <w:sz w:val="30"/>
          <w:szCs w:val="30"/>
          <w:lang w:val="it-IT"/>
        </w:rPr>
        <w:t>probabilmente</w:t>
      </w:r>
      <w:r>
        <w:rPr>
          <w:rFonts w:ascii="Cambria Math" w:hAnsi="Cambria Math"/>
          <w:sz w:val="30"/>
          <w:szCs w:val="30"/>
          <w:lang w:val="it-IT"/>
        </w:rPr>
        <w:t xml:space="preserve"> per una possibile sovrapposizione con la seconda. La </w:t>
      </w:r>
      <w:r w:rsidR="003B7C99">
        <w:rPr>
          <w:rFonts w:ascii="Cambria Math" w:hAnsi="Cambria Math"/>
          <w:sz w:val="30"/>
          <w:szCs w:val="30"/>
          <w:lang w:val="it-IT"/>
        </w:rPr>
        <w:t xml:space="preserve">classifica che segue poi presenta differenze significative, con la </w:t>
      </w:r>
      <w:r>
        <w:rPr>
          <w:rFonts w:ascii="Cambria Math" w:hAnsi="Cambria Math"/>
          <w:sz w:val="30"/>
          <w:szCs w:val="30"/>
          <w:lang w:val="it-IT"/>
        </w:rPr>
        <w:t xml:space="preserve">prima e la quarta missione </w:t>
      </w:r>
      <w:r w:rsidR="003B7C99">
        <w:rPr>
          <w:rFonts w:ascii="Cambria Math" w:hAnsi="Cambria Math"/>
          <w:sz w:val="30"/>
          <w:szCs w:val="30"/>
          <w:lang w:val="it-IT"/>
        </w:rPr>
        <w:t xml:space="preserve">che </w:t>
      </w:r>
      <w:r>
        <w:rPr>
          <w:rFonts w:ascii="Cambria Math" w:hAnsi="Cambria Math"/>
          <w:sz w:val="30"/>
          <w:szCs w:val="30"/>
          <w:lang w:val="it-IT"/>
        </w:rPr>
        <w:t xml:space="preserve">sono mediamente finanziate allo stesso modo, ma con l’istruzione che riceve quantità di denaro estremamente variabili nelle diverse provincie, con addirittura </w:t>
      </w:r>
      <w:r w:rsidR="00B26B8C">
        <w:rPr>
          <w:rFonts w:ascii="Cambria Math" w:hAnsi="Cambria Math"/>
          <w:sz w:val="30"/>
          <w:szCs w:val="30"/>
          <w:lang w:val="it-IT"/>
        </w:rPr>
        <w:t>quattro</w:t>
      </w:r>
      <w:r>
        <w:rPr>
          <w:rFonts w:ascii="Cambria Math" w:hAnsi="Cambria Math"/>
          <w:sz w:val="30"/>
          <w:szCs w:val="30"/>
          <w:lang w:val="it-IT"/>
        </w:rPr>
        <w:t xml:space="preserve"> di queste che non vi destinano </w:t>
      </w:r>
      <w:r w:rsidR="003B7C99">
        <w:rPr>
          <w:rFonts w:ascii="Cambria Math" w:hAnsi="Cambria Math"/>
          <w:sz w:val="30"/>
          <w:szCs w:val="30"/>
          <w:lang w:val="it-IT"/>
        </w:rPr>
        <w:t>alcun investimento;</w:t>
      </w:r>
      <w:r>
        <w:rPr>
          <w:rFonts w:ascii="Cambria Math" w:hAnsi="Cambria Math"/>
          <w:sz w:val="30"/>
          <w:szCs w:val="30"/>
          <w:lang w:val="it-IT"/>
        </w:rPr>
        <w:t xml:space="preserve"> </w:t>
      </w:r>
      <w:r w:rsidR="003B7C99">
        <w:rPr>
          <w:rFonts w:ascii="Cambria Math" w:hAnsi="Cambria Math"/>
          <w:sz w:val="30"/>
          <w:szCs w:val="30"/>
          <w:lang w:val="it-IT"/>
        </w:rPr>
        <w:t>s</w:t>
      </w:r>
      <w:r>
        <w:rPr>
          <w:rFonts w:ascii="Cambria Math" w:hAnsi="Cambria Math"/>
          <w:sz w:val="30"/>
          <w:szCs w:val="30"/>
          <w:lang w:val="it-IT"/>
        </w:rPr>
        <w:t>eguono poi la sesta missione e in fondo la quinta</w:t>
      </w:r>
      <w:r w:rsidR="003B7C99">
        <w:rPr>
          <w:rFonts w:ascii="Cambria Math" w:hAnsi="Cambria Math"/>
          <w:sz w:val="30"/>
          <w:szCs w:val="30"/>
          <w:lang w:val="it-IT"/>
        </w:rPr>
        <w:t>.</w:t>
      </w:r>
    </w:p>
    <w:p w14:paraId="53DB5131" w14:textId="28045F2F" w:rsidR="009C2AF4" w:rsidRDefault="009C2AF4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La prima missione è </w:t>
      </w:r>
      <w:r w:rsidR="000D5733">
        <w:rPr>
          <w:rFonts w:ascii="Cambria Math" w:hAnsi="Cambria Math"/>
          <w:sz w:val="30"/>
          <w:szCs w:val="30"/>
          <w:lang w:val="it-IT"/>
        </w:rPr>
        <w:t>finanziata maggiormente nel Sud Italia, in particolare in Calabria</w:t>
      </w:r>
      <w:r w:rsidR="00DE663C">
        <w:rPr>
          <w:rFonts w:ascii="Cambria Math" w:hAnsi="Cambria Math"/>
          <w:sz w:val="30"/>
          <w:szCs w:val="30"/>
          <w:lang w:val="it-IT"/>
        </w:rPr>
        <w:t xml:space="preserve">. Tralasciando questa eccezione, non si vedono specifici territori che beneficiano </w:t>
      </w:r>
      <w:r w:rsidR="003F585A">
        <w:rPr>
          <w:rFonts w:ascii="Cambria Math" w:hAnsi="Cambria Math"/>
          <w:sz w:val="30"/>
          <w:szCs w:val="30"/>
          <w:lang w:val="it-IT"/>
        </w:rPr>
        <w:t xml:space="preserve">di investimenti in un settore </w:t>
      </w:r>
      <w:r w:rsidR="007477B6">
        <w:rPr>
          <w:rFonts w:ascii="Cambria Math" w:hAnsi="Cambria Math"/>
          <w:sz w:val="30"/>
          <w:szCs w:val="30"/>
          <w:lang w:val="it-IT"/>
        </w:rPr>
        <w:t>in modo più importante rispetto agli altri.</w:t>
      </w:r>
    </w:p>
    <w:p w14:paraId="15E964E5" w14:textId="77777777" w:rsidR="00633D5E" w:rsidRDefault="00B35AA6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È</w:t>
      </w:r>
      <w:r w:rsidR="00D74902">
        <w:rPr>
          <w:rFonts w:ascii="Cambria Math" w:hAnsi="Cambria Math"/>
          <w:sz w:val="30"/>
          <w:szCs w:val="30"/>
          <w:lang w:val="it-IT"/>
        </w:rPr>
        <w:t xml:space="preserve"> bene ricordare che i fondi di questo piano sono </w:t>
      </w:r>
      <w:r w:rsidR="00E063EE">
        <w:rPr>
          <w:rFonts w:ascii="Cambria Math" w:hAnsi="Cambria Math"/>
          <w:sz w:val="30"/>
          <w:szCs w:val="30"/>
          <w:lang w:val="it-IT"/>
        </w:rPr>
        <w:t>prestiti; quindi,</w:t>
      </w:r>
      <w:r w:rsidR="007477B6">
        <w:rPr>
          <w:rFonts w:ascii="Cambria Math" w:hAnsi="Cambria Math"/>
          <w:sz w:val="30"/>
          <w:szCs w:val="30"/>
          <w:lang w:val="it-IT"/>
        </w:rPr>
        <w:t xml:space="preserve"> </w:t>
      </w:r>
      <w:r w:rsidR="006E0750">
        <w:rPr>
          <w:rFonts w:ascii="Cambria Math" w:hAnsi="Cambria Math"/>
          <w:sz w:val="30"/>
          <w:szCs w:val="30"/>
          <w:lang w:val="it-IT"/>
        </w:rPr>
        <w:t xml:space="preserve">posto che un certo quantitativo di soldi a prestito viene preso, </w:t>
      </w:r>
      <w:r w:rsidR="007477B6">
        <w:rPr>
          <w:rFonts w:ascii="Cambria Math" w:hAnsi="Cambria Math"/>
          <w:sz w:val="30"/>
          <w:szCs w:val="30"/>
          <w:lang w:val="it-IT"/>
        </w:rPr>
        <w:t xml:space="preserve">è interessante capire </w:t>
      </w:r>
      <w:r w:rsidR="006E0750">
        <w:rPr>
          <w:rFonts w:ascii="Cambria Math" w:hAnsi="Cambria Math"/>
          <w:sz w:val="30"/>
          <w:szCs w:val="30"/>
          <w:lang w:val="it-IT"/>
        </w:rPr>
        <w:t xml:space="preserve">dove questi </w:t>
      </w:r>
      <w:r w:rsidR="009C25DE">
        <w:rPr>
          <w:rFonts w:ascii="Cambria Math" w:hAnsi="Cambria Math"/>
          <w:sz w:val="30"/>
          <w:szCs w:val="30"/>
          <w:lang w:val="it-IT"/>
        </w:rPr>
        <w:t>vengano</w:t>
      </w:r>
      <w:r w:rsidR="006E0750">
        <w:rPr>
          <w:rFonts w:ascii="Cambria Math" w:hAnsi="Cambria Math"/>
          <w:sz w:val="30"/>
          <w:szCs w:val="30"/>
          <w:lang w:val="it-IT"/>
        </w:rPr>
        <w:t xml:space="preserve"> spesi, cioè </w:t>
      </w:r>
      <w:r w:rsidR="009C25DE">
        <w:rPr>
          <w:rFonts w:ascii="Cambria Math" w:hAnsi="Cambria Math"/>
          <w:sz w:val="30"/>
          <w:szCs w:val="30"/>
          <w:lang w:val="it-IT"/>
        </w:rPr>
        <w:t>analizzare</w:t>
      </w:r>
      <w:r w:rsidR="006E0750">
        <w:rPr>
          <w:rFonts w:ascii="Cambria Math" w:hAnsi="Cambria Math"/>
          <w:sz w:val="30"/>
          <w:szCs w:val="30"/>
          <w:lang w:val="it-IT"/>
        </w:rPr>
        <w:t xml:space="preserve"> le percentuali di spesa nelle varie missioni sul totale di investimenti fatti </w:t>
      </w:r>
      <w:r w:rsidR="00633D5E">
        <w:rPr>
          <w:rFonts w:ascii="Cambria Math" w:hAnsi="Cambria Math"/>
          <w:sz w:val="30"/>
          <w:szCs w:val="30"/>
          <w:lang w:val="it-IT"/>
        </w:rPr>
        <w:t>in</w:t>
      </w:r>
      <w:r w:rsidR="006E0750">
        <w:rPr>
          <w:rFonts w:ascii="Cambria Math" w:hAnsi="Cambria Math"/>
          <w:sz w:val="30"/>
          <w:szCs w:val="30"/>
          <w:lang w:val="it-IT"/>
        </w:rPr>
        <w:t xml:space="preserve"> quella provincia.</w:t>
      </w:r>
      <w:r w:rsidR="004D10F0">
        <w:rPr>
          <w:rFonts w:ascii="Cambria Math" w:hAnsi="Cambria Math"/>
          <w:sz w:val="30"/>
          <w:szCs w:val="30"/>
          <w:lang w:val="it-IT"/>
        </w:rPr>
        <w:t xml:space="preserve"> </w:t>
      </w:r>
    </w:p>
    <w:p w14:paraId="01599622" w14:textId="2A3A74AC" w:rsidR="003B7C99" w:rsidRDefault="00151091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La</w:t>
      </w:r>
      <w:r w:rsidR="004D10F0">
        <w:rPr>
          <w:rFonts w:ascii="Cambria Math" w:hAnsi="Cambria Math"/>
          <w:sz w:val="30"/>
          <w:szCs w:val="30"/>
          <w:lang w:val="it-IT"/>
        </w:rPr>
        <w:t xml:space="preserve"> situazione </w:t>
      </w:r>
      <w:r w:rsidR="00633D5E">
        <w:rPr>
          <w:rFonts w:ascii="Cambria Math" w:hAnsi="Cambria Math"/>
          <w:sz w:val="30"/>
          <w:szCs w:val="30"/>
          <w:lang w:val="it-IT"/>
        </w:rPr>
        <w:t xml:space="preserve">così </w:t>
      </w:r>
      <w:r w:rsidR="004D10F0">
        <w:rPr>
          <w:rFonts w:ascii="Cambria Math" w:hAnsi="Cambria Math"/>
          <w:sz w:val="30"/>
          <w:szCs w:val="30"/>
          <w:lang w:val="it-IT"/>
        </w:rPr>
        <w:t>appare molto più bilanciata tra le varie missioni</w:t>
      </w:r>
      <w:r w:rsidR="005E4A7D">
        <w:rPr>
          <w:rFonts w:ascii="Cambria Math" w:hAnsi="Cambria Math"/>
          <w:sz w:val="30"/>
          <w:szCs w:val="30"/>
          <w:lang w:val="it-IT"/>
        </w:rPr>
        <w:t>, ad eccezione della terza e della quinta (dove sono stati concentrati la minor parte degli investimenti)</w:t>
      </w:r>
      <w:r w:rsidR="0094477F">
        <w:rPr>
          <w:rFonts w:ascii="Cambria Math" w:hAnsi="Cambria Math"/>
          <w:sz w:val="30"/>
          <w:szCs w:val="30"/>
          <w:lang w:val="it-IT"/>
        </w:rPr>
        <w:t xml:space="preserve">, togliendole infatti non c’è </w:t>
      </w:r>
      <w:r w:rsidR="00A45A35">
        <w:rPr>
          <w:rFonts w:ascii="Cambria Math" w:hAnsi="Cambria Math"/>
          <w:sz w:val="30"/>
          <w:szCs w:val="30"/>
          <w:lang w:val="it-IT"/>
        </w:rPr>
        <w:t>una differenza signific</w:t>
      </w:r>
      <w:r w:rsidR="0053266D">
        <w:rPr>
          <w:rFonts w:ascii="Cambria Math" w:hAnsi="Cambria Math"/>
          <w:sz w:val="30"/>
          <w:szCs w:val="30"/>
          <w:lang w:val="it-IT"/>
        </w:rPr>
        <w:t xml:space="preserve">ativa </w:t>
      </w:r>
      <w:r w:rsidR="00770C7C">
        <w:rPr>
          <w:rFonts w:ascii="Cambria Math" w:hAnsi="Cambria Math"/>
          <w:sz w:val="30"/>
          <w:szCs w:val="30"/>
          <w:lang w:val="it-IT"/>
        </w:rPr>
        <w:t>tra le altre</w:t>
      </w:r>
      <w:r w:rsidR="005E4A7D">
        <w:rPr>
          <w:rFonts w:ascii="Cambria Math" w:hAnsi="Cambria Math"/>
          <w:sz w:val="30"/>
          <w:szCs w:val="30"/>
          <w:lang w:val="it-IT"/>
        </w:rPr>
        <w:t>.</w:t>
      </w:r>
    </w:p>
    <w:p w14:paraId="0F6934B7" w14:textId="77777777" w:rsidR="004E7887" w:rsidRDefault="00BE7940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 xml:space="preserve">In questo ambito, è interessante cercare una correlazione tra la percentuale di spesa nelle </w:t>
      </w:r>
      <w:r w:rsidR="003A3595">
        <w:rPr>
          <w:rFonts w:ascii="Cambria Math" w:hAnsi="Cambria Math"/>
          <w:sz w:val="30"/>
          <w:szCs w:val="30"/>
          <w:lang w:val="it-IT"/>
        </w:rPr>
        <w:t>varie aree</w:t>
      </w:r>
      <w:r>
        <w:rPr>
          <w:rFonts w:ascii="Cambria Math" w:hAnsi="Cambria Math"/>
          <w:sz w:val="30"/>
          <w:szCs w:val="30"/>
          <w:lang w:val="it-IT"/>
        </w:rPr>
        <w:t xml:space="preserve"> e la dimensione delle provincie</w:t>
      </w:r>
      <w:r w:rsidR="003A3595">
        <w:rPr>
          <w:rFonts w:ascii="Cambria Math" w:hAnsi="Cambria Math"/>
          <w:sz w:val="30"/>
          <w:szCs w:val="30"/>
          <w:lang w:val="it-IT"/>
        </w:rPr>
        <w:t>, e</w:t>
      </w:r>
      <w:r>
        <w:rPr>
          <w:rFonts w:ascii="Cambria Math" w:hAnsi="Cambria Math"/>
          <w:sz w:val="30"/>
          <w:szCs w:val="30"/>
          <w:lang w:val="it-IT"/>
        </w:rPr>
        <w:t xml:space="preserve"> la </w:t>
      </w:r>
      <w:r>
        <w:rPr>
          <w:rFonts w:ascii="Cambria Math" w:hAnsi="Cambria Math"/>
          <w:sz w:val="30"/>
          <w:szCs w:val="30"/>
          <w:lang w:val="it-IT"/>
        </w:rPr>
        <w:lastRenderedPageBreak/>
        <w:t>maggior parte delle missioni non presenta questo fenomeno</w:t>
      </w:r>
      <w:r w:rsidR="00290690">
        <w:rPr>
          <w:rFonts w:ascii="Cambria Math" w:hAnsi="Cambria Math"/>
          <w:sz w:val="30"/>
          <w:szCs w:val="30"/>
          <w:lang w:val="it-IT"/>
        </w:rPr>
        <w:t xml:space="preserve">, con due </w:t>
      </w:r>
      <w:r>
        <w:rPr>
          <w:rFonts w:ascii="Cambria Math" w:hAnsi="Cambria Math"/>
          <w:sz w:val="30"/>
          <w:szCs w:val="30"/>
          <w:lang w:val="it-IT"/>
        </w:rPr>
        <w:t>eccezion</w:t>
      </w:r>
      <w:r w:rsidR="00290690">
        <w:rPr>
          <w:rFonts w:ascii="Cambria Math" w:hAnsi="Cambria Math"/>
          <w:sz w:val="30"/>
          <w:szCs w:val="30"/>
          <w:lang w:val="it-IT"/>
        </w:rPr>
        <w:t>i</w:t>
      </w:r>
      <w:r w:rsidR="004E7887">
        <w:rPr>
          <w:rFonts w:ascii="Cambria Math" w:hAnsi="Cambria Math"/>
          <w:sz w:val="30"/>
          <w:szCs w:val="30"/>
          <w:lang w:val="it-IT"/>
        </w:rPr>
        <w:t>:</w:t>
      </w:r>
    </w:p>
    <w:p w14:paraId="1E37EBE8" w14:textId="1014DEF0" w:rsidR="001636E0" w:rsidRPr="00747C7C" w:rsidRDefault="00747C7C" w:rsidP="00747C7C">
      <w:pPr>
        <w:pStyle w:val="ListParagraph"/>
        <w:numPr>
          <w:ilvl w:val="0"/>
          <w:numId w:val="2"/>
        </w:numPr>
        <w:rPr>
          <w:rFonts w:ascii="Cambria Math" w:hAnsi="Cambria Math"/>
          <w:sz w:val="30"/>
          <w:szCs w:val="30"/>
          <w:lang w:val="it-IT"/>
        </w:rPr>
      </w:pPr>
      <w:r w:rsidRPr="00747C7C">
        <w:rPr>
          <w:rFonts w:ascii="Cambria Math" w:hAnsi="Cambria Math"/>
          <w:sz w:val="30"/>
          <w:szCs w:val="30"/>
          <w:lang w:val="it-IT"/>
        </w:rPr>
        <w:t>L</w:t>
      </w:r>
      <w:r w:rsidR="00BE7940" w:rsidRPr="00747C7C">
        <w:rPr>
          <w:rFonts w:ascii="Cambria Math" w:hAnsi="Cambria Math"/>
          <w:sz w:val="30"/>
          <w:szCs w:val="30"/>
          <w:lang w:val="it-IT"/>
        </w:rPr>
        <w:t xml:space="preserve">a missione quattro, che presenta una correlazione positiva con la popolazione, ovvero </w:t>
      </w:r>
      <w:r w:rsidR="001E63A6" w:rsidRPr="00747C7C">
        <w:rPr>
          <w:rFonts w:ascii="Cambria Math" w:hAnsi="Cambria Math"/>
          <w:sz w:val="30"/>
          <w:szCs w:val="30"/>
          <w:lang w:val="it-IT"/>
        </w:rPr>
        <w:t xml:space="preserve">più una provincia è grande (in termine di abitanti) più tende ad investire nell’istruzione </w:t>
      </w:r>
      <w:r w:rsidR="00BE7940" w:rsidRPr="00747C7C">
        <w:rPr>
          <w:rFonts w:ascii="Cambria Math" w:hAnsi="Cambria Math"/>
          <w:sz w:val="30"/>
          <w:szCs w:val="30"/>
          <w:lang w:val="it-IT"/>
        </w:rPr>
        <w:t>e nella ricerca</w:t>
      </w:r>
      <w:r w:rsidR="002C3E0E" w:rsidRPr="00747C7C">
        <w:rPr>
          <w:rFonts w:ascii="Cambria Math" w:hAnsi="Cambria Math"/>
          <w:sz w:val="30"/>
          <w:szCs w:val="30"/>
          <w:lang w:val="it-IT"/>
        </w:rPr>
        <w:t>.</w:t>
      </w:r>
      <w:r w:rsidR="00BE7940" w:rsidRPr="00747C7C">
        <w:rPr>
          <w:rFonts w:ascii="Cambria Math" w:hAnsi="Cambria Math"/>
          <w:sz w:val="30"/>
          <w:szCs w:val="30"/>
          <w:lang w:val="it-IT"/>
        </w:rPr>
        <w:t xml:space="preserve"> </w:t>
      </w:r>
      <w:r>
        <w:rPr>
          <w:rFonts w:ascii="Cambria Math" w:hAnsi="Cambria Math"/>
          <w:sz w:val="30"/>
          <w:szCs w:val="30"/>
          <w:lang w:val="it-IT"/>
        </w:rPr>
        <w:t>L</w:t>
      </w:r>
      <w:r w:rsidR="00A119A2" w:rsidRPr="00747C7C">
        <w:rPr>
          <w:rFonts w:ascii="Cambria Math" w:hAnsi="Cambria Math"/>
          <w:sz w:val="30"/>
          <w:szCs w:val="30"/>
          <w:lang w:val="it-IT"/>
        </w:rPr>
        <w:t xml:space="preserve">e grandi </w:t>
      </w:r>
      <w:r w:rsidR="001636E0" w:rsidRPr="00747C7C">
        <w:rPr>
          <w:rFonts w:ascii="Cambria Math" w:hAnsi="Cambria Math"/>
          <w:sz w:val="30"/>
          <w:szCs w:val="30"/>
          <w:lang w:val="it-IT"/>
        </w:rPr>
        <w:t>provincie</w:t>
      </w:r>
      <w:r w:rsidR="00A119A2" w:rsidRPr="00747C7C">
        <w:rPr>
          <w:rFonts w:ascii="Cambria Math" w:hAnsi="Cambria Math"/>
          <w:sz w:val="30"/>
          <w:szCs w:val="30"/>
          <w:lang w:val="it-IT"/>
        </w:rPr>
        <w:t xml:space="preserve"> in Italia</w:t>
      </w:r>
      <w:r w:rsidR="00D30B36">
        <w:rPr>
          <w:rFonts w:ascii="Cambria Math" w:hAnsi="Cambria Math"/>
          <w:sz w:val="30"/>
          <w:szCs w:val="30"/>
          <w:lang w:val="it-IT"/>
        </w:rPr>
        <w:t>, quindi,</w:t>
      </w:r>
      <w:r w:rsidR="00A119A2" w:rsidRPr="00747C7C">
        <w:rPr>
          <w:rFonts w:ascii="Cambria Math" w:hAnsi="Cambria Math"/>
          <w:sz w:val="30"/>
          <w:szCs w:val="30"/>
          <w:lang w:val="it-IT"/>
        </w:rPr>
        <w:t xml:space="preserve"> </w:t>
      </w:r>
      <w:r w:rsidR="0088196E" w:rsidRPr="00747C7C">
        <w:rPr>
          <w:rFonts w:ascii="Cambria Math" w:hAnsi="Cambria Math"/>
          <w:sz w:val="30"/>
          <w:szCs w:val="30"/>
          <w:lang w:val="it-IT"/>
        </w:rPr>
        <w:t>puntano</w:t>
      </w:r>
      <w:r w:rsidR="00A119A2" w:rsidRPr="00747C7C">
        <w:rPr>
          <w:rFonts w:ascii="Cambria Math" w:hAnsi="Cambria Math"/>
          <w:sz w:val="30"/>
          <w:szCs w:val="30"/>
          <w:lang w:val="it-IT"/>
        </w:rPr>
        <w:t xml:space="preserve"> di più sull’istruzione rispetto a </w:t>
      </w:r>
      <w:r w:rsidR="0088196E" w:rsidRPr="00747C7C">
        <w:rPr>
          <w:rFonts w:ascii="Cambria Math" w:hAnsi="Cambria Math"/>
          <w:sz w:val="30"/>
          <w:szCs w:val="30"/>
          <w:lang w:val="it-IT"/>
        </w:rPr>
        <w:t>quelle più piccole</w:t>
      </w:r>
      <w:r w:rsidR="009766C1" w:rsidRPr="00747C7C">
        <w:rPr>
          <w:rFonts w:ascii="Cambria Math" w:hAnsi="Cambria Math"/>
          <w:sz w:val="30"/>
          <w:szCs w:val="30"/>
          <w:lang w:val="it-IT"/>
        </w:rPr>
        <w:t>;</w:t>
      </w:r>
    </w:p>
    <w:p w14:paraId="712702D1" w14:textId="0C53BC77" w:rsidR="003B7C99" w:rsidRPr="00747C7C" w:rsidRDefault="00747C7C" w:rsidP="00747C7C">
      <w:pPr>
        <w:pStyle w:val="ListParagraph"/>
        <w:numPr>
          <w:ilvl w:val="0"/>
          <w:numId w:val="2"/>
        </w:numPr>
        <w:rPr>
          <w:rFonts w:ascii="Cambria Math" w:hAnsi="Cambria Math"/>
          <w:sz w:val="30"/>
          <w:szCs w:val="30"/>
          <w:lang w:val="it-IT"/>
        </w:rPr>
      </w:pPr>
      <w:r w:rsidRPr="00747C7C">
        <w:rPr>
          <w:rFonts w:ascii="Cambria Math" w:hAnsi="Cambria Math"/>
          <w:sz w:val="30"/>
          <w:szCs w:val="30"/>
          <w:lang w:val="it-IT"/>
        </w:rPr>
        <w:t>L</w:t>
      </w:r>
      <w:r w:rsidR="00BE7940" w:rsidRPr="00747C7C">
        <w:rPr>
          <w:rFonts w:ascii="Cambria Math" w:hAnsi="Cambria Math"/>
          <w:sz w:val="30"/>
          <w:szCs w:val="30"/>
          <w:lang w:val="it-IT"/>
        </w:rPr>
        <w:t>’altra eccezione è rappresentata dalla missione 6, che invece ha la tendenza opposta, ovvero tende a finanziare maggiormente le zone con meno abitanti, e la speranza è che sia un tentativo di andare a creare quella tanto necessaria medicina del territorio</w:t>
      </w:r>
      <w:r w:rsidR="00336898" w:rsidRPr="00747C7C">
        <w:rPr>
          <w:rFonts w:ascii="Cambria Math" w:hAnsi="Cambria Math"/>
          <w:sz w:val="30"/>
          <w:szCs w:val="30"/>
          <w:lang w:val="it-IT"/>
        </w:rPr>
        <w:t xml:space="preserve"> anche nelle zone meno popolose d</w:t>
      </w:r>
      <w:r w:rsidR="001B5026" w:rsidRPr="00747C7C">
        <w:rPr>
          <w:rFonts w:ascii="Cambria Math" w:hAnsi="Cambria Math"/>
          <w:sz w:val="30"/>
          <w:szCs w:val="30"/>
          <w:lang w:val="it-IT"/>
        </w:rPr>
        <w:t>’Italia,</w:t>
      </w:r>
      <w:r w:rsidR="00BE7940" w:rsidRPr="00747C7C">
        <w:rPr>
          <w:rFonts w:ascii="Cambria Math" w:hAnsi="Cambria Math"/>
          <w:sz w:val="30"/>
          <w:szCs w:val="30"/>
          <w:lang w:val="it-IT"/>
        </w:rPr>
        <w:t xml:space="preserve"> che </w:t>
      </w:r>
      <w:r w:rsidR="001B5026" w:rsidRPr="00747C7C">
        <w:rPr>
          <w:rFonts w:ascii="Cambria Math" w:hAnsi="Cambria Math"/>
          <w:sz w:val="30"/>
          <w:szCs w:val="30"/>
          <w:lang w:val="it-IT"/>
        </w:rPr>
        <w:t>tanto ne necessiterebbero</w:t>
      </w:r>
      <w:r w:rsidR="00BE7940" w:rsidRPr="00747C7C">
        <w:rPr>
          <w:rFonts w:ascii="Cambria Math" w:hAnsi="Cambria Math"/>
          <w:sz w:val="30"/>
          <w:szCs w:val="30"/>
          <w:lang w:val="it-IT"/>
        </w:rPr>
        <w:t>.</w:t>
      </w:r>
    </w:p>
    <w:p w14:paraId="78FC3736" w14:textId="78541B50" w:rsidR="00BE7940" w:rsidRDefault="000B2362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Ultima, ma non per importanza, la politica: come il partito politico di appartenenza degli amministratori territoriali ha influenzato la quantità e la scelta degli investimenti fatti</w:t>
      </w:r>
      <w:r w:rsidR="00E46348">
        <w:rPr>
          <w:rFonts w:ascii="Cambria Math" w:hAnsi="Cambria Math"/>
          <w:sz w:val="30"/>
          <w:szCs w:val="30"/>
          <w:lang w:val="it-IT"/>
        </w:rPr>
        <w:t>?</w:t>
      </w:r>
      <w:r w:rsidR="00472C76">
        <w:rPr>
          <w:rFonts w:ascii="Cambria Math" w:hAnsi="Cambria Math"/>
          <w:sz w:val="30"/>
          <w:szCs w:val="30"/>
          <w:lang w:val="it-IT"/>
        </w:rPr>
        <w:t xml:space="preserve"> </w:t>
      </w:r>
      <w:r w:rsidR="004728BD">
        <w:rPr>
          <w:rFonts w:ascii="Cambria Math" w:hAnsi="Cambria Math"/>
          <w:sz w:val="30"/>
          <w:szCs w:val="30"/>
          <w:lang w:val="it-IT"/>
        </w:rPr>
        <w:t>Questa</w:t>
      </w:r>
      <w:r w:rsidR="00472C76">
        <w:rPr>
          <w:rFonts w:ascii="Cambria Math" w:hAnsi="Cambria Math"/>
          <w:sz w:val="30"/>
          <w:szCs w:val="30"/>
          <w:lang w:val="it-IT"/>
        </w:rPr>
        <w:t xml:space="preserve"> influenza non </w:t>
      </w:r>
      <w:r w:rsidR="004728BD">
        <w:rPr>
          <w:rFonts w:ascii="Cambria Math" w:hAnsi="Cambria Math"/>
          <w:sz w:val="30"/>
          <w:szCs w:val="30"/>
          <w:lang w:val="it-IT"/>
        </w:rPr>
        <w:t xml:space="preserve">è presente, in primo luogo sulla quantità di investimenti programmati sui diversi territori, ma soprattutto non c’è influenza del partito di appartenenza su come vengono investiti i </w:t>
      </w:r>
      <w:r w:rsidR="00D30B36">
        <w:rPr>
          <w:rFonts w:ascii="Cambria Math" w:hAnsi="Cambria Math"/>
          <w:sz w:val="30"/>
          <w:szCs w:val="30"/>
          <w:lang w:val="it-IT"/>
        </w:rPr>
        <w:t>fondi; quindi,</w:t>
      </w:r>
      <w:r w:rsidR="0039425A">
        <w:rPr>
          <w:rFonts w:ascii="Cambria Math" w:hAnsi="Cambria Math"/>
          <w:sz w:val="30"/>
          <w:szCs w:val="30"/>
          <w:lang w:val="it-IT"/>
        </w:rPr>
        <w:t xml:space="preserve"> sulle percentuali che le missioni ottengono nelle provincie.</w:t>
      </w:r>
    </w:p>
    <w:p w14:paraId="6DE067AA" w14:textId="461717B9" w:rsidR="00472C76" w:rsidRDefault="00472C76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In conclusione,</w:t>
      </w:r>
      <w:r w:rsidR="00D30B36">
        <w:rPr>
          <w:rFonts w:ascii="Cambria Math" w:hAnsi="Cambria Math"/>
          <w:sz w:val="30"/>
          <w:szCs w:val="30"/>
          <w:lang w:val="it-IT"/>
        </w:rPr>
        <w:t xml:space="preserve"> </w:t>
      </w:r>
      <w:r w:rsidR="00804882">
        <w:rPr>
          <w:rFonts w:ascii="Cambria Math" w:hAnsi="Cambria Math"/>
          <w:sz w:val="30"/>
          <w:szCs w:val="30"/>
          <w:lang w:val="it-IT"/>
        </w:rPr>
        <w:t xml:space="preserve">non si vedono particolari </w:t>
      </w:r>
      <w:r w:rsidR="0097164F">
        <w:rPr>
          <w:rFonts w:ascii="Cambria Math" w:hAnsi="Cambria Math"/>
          <w:sz w:val="30"/>
          <w:szCs w:val="30"/>
          <w:lang w:val="it-IT"/>
        </w:rPr>
        <w:t>macro-territori</w:t>
      </w:r>
      <w:r w:rsidR="00804882">
        <w:rPr>
          <w:rFonts w:ascii="Cambria Math" w:hAnsi="Cambria Math"/>
          <w:sz w:val="30"/>
          <w:szCs w:val="30"/>
          <w:lang w:val="it-IT"/>
        </w:rPr>
        <w:t xml:space="preserve"> che beneficiano di </w:t>
      </w:r>
      <w:r w:rsidR="0088611F">
        <w:rPr>
          <w:rFonts w:ascii="Cambria Math" w:hAnsi="Cambria Math"/>
          <w:sz w:val="30"/>
          <w:szCs w:val="30"/>
          <w:lang w:val="it-IT"/>
        </w:rPr>
        <w:t>investimenti più considerevoli</w:t>
      </w:r>
      <w:r w:rsidR="004B39F0">
        <w:rPr>
          <w:rFonts w:ascii="Cambria Math" w:hAnsi="Cambria Math"/>
          <w:sz w:val="30"/>
          <w:szCs w:val="30"/>
          <w:lang w:val="it-IT"/>
        </w:rPr>
        <w:t xml:space="preserve">. Suddividendo nelle </w:t>
      </w:r>
      <w:r w:rsidR="00F90004">
        <w:rPr>
          <w:rFonts w:ascii="Cambria Math" w:hAnsi="Cambria Math"/>
          <w:sz w:val="30"/>
          <w:szCs w:val="30"/>
          <w:lang w:val="it-IT"/>
        </w:rPr>
        <w:t>varie missioni</w:t>
      </w:r>
      <w:r w:rsidR="004B39F0">
        <w:rPr>
          <w:rFonts w:ascii="Cambria Math" w:hAnsi="Cambria Math"/>
          <w:sz w:val="30"/>
          <w:szCs w:val="30"/>
          <w:lang w:val="it-IT"/>
        </w:rPr>
        <w:t xml:space="preserve">, </w:t>
      </w:r>
      <w:r w:rsidR="00C26AE7">
        <w:rPr>
          <w:rFonts w:ascii="Cambria Math" w:hAnsi="Cambria Math"/>
          <w:sz w:val="30"/>
          <w:szCs w:val="30"/>
          <w:lang w:val="it-IT"/>
        </w:rPr>
        <w:t xml:space="preserve">si può vedere come </w:t>
      </w:r>
      <w:r w:rsidR="004B39F0">
        <w:rPr>
          <w:rFonts w:ascii="Cambria Math" w:hAnsi="Cambria Math"/>
          <w:sz w:val="30"/>
          <w:szCs w:val="30"/>
          <w:lang w:val="it-IT"/>
        </w:rPr>
        <w:t xml:space="preserve">la seconda, quella per il green, è </w:t>
      </w:r>
      <w:r w:rsidR="000F6A75">
        <w:rPr>
          <w:rFonts w:ascii="Cambria Math" w:hAnsi="Cambria Math"/>
          <w:sz w:val="30"/>
          <w:szCs w:val="30"/>
          <w:lang w:val="it-IT"/>
        </w:rPr>
        <w:t xml:space="preserve">quella </w:t>
      </w:r>
      <w:r w:rsidR="004B39F0">
        <w:rPr>
          <w:rFonts w:ascii="Cambria Math" w:hAnsi="Cambria Math"/>
          <w:sz w:val="30"/>
          <w:szCs w:val="30"/>
          <w:lang w:val="it-IT"/>
        </w:rPr>
        <w:t xml:space="preserve">che riceve meno investimenti ma più ingenti, </w:t>
      </w:r>
      <w:r w:rsidR="00F90004">
        <w:rPr>
          <w:rFonts w:ascii="Cambria Math" w:hAnsi="Cambria Math"/>
          <w:sz w:val="30"/>
          <w:szCs w:val="30"/>
          <w:lang w:val="it-IT"/>
        </w:rPr>
        <w:t xml:space="preserve">e soprattutto </w:t>
      </w:r>
      <w:r w:rsidR="000F6A75">
        <w:rPr>
          <w:rFonts w:ascii="Cambria Math" w:hAnsi="Cambria Math"/>
          <w:sz w:val="30"/>
          <w:szCs w:val="30"/>
          <w:lang w:val="it-IT"/>
        </w:rPr>
        <w:t>si può vedere come le piccole provincie</w:t>
      </w:r>
      <w:r w:rsidR="00372019">
        <w:rPr>
          <w:rFonts w:ascii="Cambria Math" w:hAnsi="Cambria Math"/>
          <w:sz w:val="30"/>
          <w:szCs w:val="30"/>
          <w:lang w:val="it-IT"/>
        </w:rPr>
        <w:t xml:space="preserve"> puntano maggiormente sulla sanità, mentre le grandi puntano di </w:t>
      </w:r>
      <w:r w:rsidR="0097164F">
        <w:rPr>
          <w:rFonts w:ascii="Cambria Math" w:hAnsi="Cambria Math"/>
          <w:sz w:val="30"/>
          <w:szCs w:val="30"/>
          <w:lang w:val="it-IT"/>
        </w:rPr>
        <w:t>più</w:t>
      </w:r>
      <w:r w:rsidR="00372019">
        <w:rPr>
          <w:rFonts w:ascii="Cambria Math" w:hAnsi="Cambria Math"/>
          <w:sz w:val="30"/>
          <w:szCs w:val="30"/>
          <w:lang w:val="it-IT"/>
        </w:rPr>
        <w:t xml:space="preserve"> sulla scuola e sulla ricerca</w:t>
      </w:r>
      <w:r>
        <w:rPr>
          <w:rFonts w:ascii="Cambria Math" w:hAnsi="Cambria Math"/>
          <w:sz w:val="30"/>
          <w:szCs w:val="30"/>
          <w:lang w:val="it-IT"/>
        </w:rPr>
        <w:t>.</w:t>
      </w:r>
      <w:r w:rsidR="00A56818">
        <w:rPr>
          <w:rFonts w:ascii="Cambria Math" w:hAnsi="Cambria Math"/>
          <w:sz w:val="30"/>
          <w:szCs w:val="30"/>
          <w:lang w:val="it-IT"/>
        </w:rPr>
        <w:t xml:space="preserve"> La sfida più grande rimane comunque riuscire veramente a mettere a terra tutti questi finanziamenti, ed è </w:t>
      </w:r>
      <w:r w:rsidR="00156CB3">
        <w:rPr>
          <w:rFonts w:ascii="Cambria Math" w:hAnsi="Cambria Math"/>
          <w:sz w:val="30"/>
          <w:szCs w:val="30"/>
          <w:lang w:val="it-IT"/>
        </w:rPr>
        <w:t>su questo</w:t>
      </w:r>
      <w:r w:rsidR="00A5648B">
        <w:rPr>
          <w:rFonts w:ascii="Cambria Math" w:hAnsi="Cambria Math"/>
          <w:sz w:val="30"/>
          <w:szCs w:val="30"/>
          <w:lang w:val="it-IT"/>
        </w:rPr>
        <w:t xml:space="preserve"> che </w:t>
      </w:r>
      <w:r w:rsidR="00142843">
        <w:rPr>
          <w:rFonts w:ascii="Cambria Math" w:hAnsi="Cambria Math"/>
          <w:sz w:val="30"/>
          <w:szCs w:val="30"/>
          <w:lang w:val="it-IT"/>
        </w:rPr>
        <w:t xml:space="preserve">verranno giudicati </w:t>
      </w:r>
      <w:r w:rsidR="002D0E19">
        <w:rPr>
          <w:rFonts w:ascii="Cambria Math" w:hAnsi="Cambria Math"/>
          <w:sz w:val="30"/>
          <w:szCs w:val="30"/>
          <w:lang w:val="it-IT"/>
        </w:rPr>
        <w:t>i nostri rappresentanti.</w:t>
      </w:r>
    </w:p>
    <w:p w14:paraId="46834887" w14:textId="77777777" w:rsidR="004B405D" w:rsidRDefault="004B405D" w:rsidP="00CD49B9">
      <w:pPr>
        <w:rPr>
          <w:rFonts w:ascii="Cambria Math" w:hAnsi="Cambria Math"/>
          <w:sz w:val="30"/>
          <w:szCs w:val="30"/>
          <w:lang w:val="it-IT"/>
        </w:rPr>
      </w:pPr>
    </w:p>
    <w:p w14:paraId="604408CA" w14:textId="4E6665EA" w:rsidR="004B405D" w:rsidRDefault="004B405D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Fonte: elaborazione su dati disponibili sul sito</w:t>
      </w:r>
      <w:r w:rsidR="007F48C0">
        <w:rPr>
          <w:rFonts w:ascii="Cambria Math" w:hAnsi="Cambria Math"/>
          <w:sz w:val="30"/>
          <w:szCs w:val="30"/>
          <w:lang w:val="it-IT"/>
        </w:rPr>
        <w:t>:</w:t>
      </w:r>
    </w:p>
    <w:p w14:paraId="196D2F56" w14:textId="6E00B3E6" w:rsidR="007F48C0" w:rsidRDefault="007F48C0" w:rsidP="00CD49B9">
      <w:pPr>
        <w:rPr>
          <w:rFonts w:ascii="Cambria Math" w:hAnsi="Cambria Math"/>
          <w:sz w:val="30"/>
          <w:szCs w:val="30"/>
          <w:lang w:val="it-IT"/>
        </w:rPr>
      </w:pPr>
      <w:hyperlink r:id="rId7" w:history="1">
        <w:r w:rsidRPr="00281FA5">
          <w:rPr>
            <w:rStyle w:val="Hyperlink"/>
            <w:rFonts w:ascii="Cambria Math" w:hAnsi="Cambria Math"/>
            <w:sz w:val="30"/>
            <w:szCs w:val="30"/>
            <w:lang w:val="it-IT"/>
          </w:rPr>
          <w:t>https://www.italiadomani.gov.it/content/sogei-ng/it/it/catalogo-open-data.html?orderby=%40jcr%3Acontent%2FobservationDateInEvidence&amp;sort=desc</w:t>
        </w:r>
      </w:hyperlink>
    </w:p>
    <w:p w14:paraId="13CD970E" w14:textId="77777777" w:rsidR="007F48C0" w:rsidRDefault="007F48C0" w:rsidP="00CD49B9">
      <w:pPr>
        <w:rPr>
          <w:rFonts w:ascii="Cambria Math" w:hAnsi="Cambria Math"/>
          <w:sz w:val="30"/>
          <w:szCs w:val="30"/>
          <w:lang w:val="it-IT"/>
        </w:rPr>
      </w:pPr>
    </w:p>
    <w:p w14:paraId="64FE7F91" w14:textId="77777777" w:rsidR="0067444A" w:rsidRDefault="0067444A" w:rsidP="00CD49B9">
      <w:pPr>
        <w:rPr>
          <w:rFonts w:ascii="Cambria Math" w:hAnsi="Cambria Math"/>
          <w:sz w:val="30"/>
          <w:szCs w:val="30"/>
          <w:lang w:val="it-IT"/>
        </w:rPr>
      </w:pPr>
    </w:p>
    <w:p w14:paraId="0B4DFCD5" w14:textId="6CF635EC" w:rsidR="0067444A" w:rsidRDefault="00955BDC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i/>
          <w:iCs/>
          <w:sz w:val="30"/>
          <w:szCs w:val="30"/>
          <w:lang w:val="it-IT"/>
        </w:rPr>
        <w:lastRenderedPageBreak/>
        <w:t xml:space="preserve">Investimenti per abitante </w:t>
      </w:r>
      <w:r>
        <w:rPr>
          <w:rFonts w:ascii="Cambria Math" w:hAnsi="Cambria Math"/>
          <w:sz w:val="30"/>
          <w:szCs w:val="30"/>
          <w:lang w:val="it-IT"/>
        </w:rPr>
        <w:t>in tutta Italia</w:t>
      </w:r>
    </w:p>
    <w:p w14:paraId="19B8E743" w14:textId="184A30D0" w:rsidR="00316B6C" w:rsidRDefault="00062F85" w:rsidP="00CD49B9">
      <w:pPr>
        <w:rPr>
          <w:rStyle w:val="Hyperlink"/>
          <w:rFonts w:ascii="Cambria Math" w:hAnsi="Cambria Math"/>
          <w:sz w:val="30"/>
          <w:szCs w:val="30"/>
          <w:lang w:val="it-IT"/>
        </w:rPr>
      </w:pPr>
      <w:hyperlink r:id="rId8" w:history="1">
        <w:r w:rsidR="00D62A11" w:rsidRPr="00B26499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https://public.flourish.studio/visualisation/13933867/</w:t>
        </w:r>
      </w:hyperlink>
    </w:p>
    <w:p w14:paraId="4FBA0F41" w14:textId="77777777" w:rsidR="00D62A11" w:rsidRDefault="00D62A11" w:rsidP="00CD49B9">
      <w:pPr>
        <w:rPr>
          <w:rFonts w:ascii="Cambria Math" w:hAnsi="Cambria Math"/>
          <w:sz w:val="30"/>
          <w:szCs w:val="30"/>
          <w:lang w:val="it-IT"/>
        </w:rPr>
      </w:pPr>
    </w:p>
    <w:p w14:paraId="5BB7B253" w14:textId="61C209BF" w:rsidR="00A116AC" w:rsidRDefault="00356A9B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più finanziata per provincia</w:t>
      </w:r>
    </w:p>
    <w:p w14:paraId="5B6AD99C" w14:textId="4FCB5E65" w:rsidR="00356A9B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9" w:history="1">
        <w:r w:rsidR="00356A9B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https://public.flourish.studio/visualisation/13954673/</w:t>
        </w:r>
      </w:hyperlink>
    </w:p>
    <w:p w14:paraId="654F6559" w14:textId="77777777" w:rsidR="00356A9B" w:rsidRDefault="00356A9B" w:rsidP="00CD49B9">
      <w:pPr>
        <w:rPr>
          <w:rFonts w:ascii="Cambria Math" w:hAnsi="Cambria Math"/>
          <w:sz w:val="30"/>
          <w:szCs w:val="30"/>
          <w:lang w:val="it-IT"/>
        </w:rPr>
      </w:pPr>
    </w:p>
    <w:p w14:paraId="014682BA" w14:textId="762C76DB" w:rsidR="00356A9B" w:rsidRDefault="00955424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numero 1</w:t>
      </w:r>
    </w:p>
    <w:p w14:paraId="493E9116" w14:textId="631E2CAC" w:rsidR="00955424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10" w:history="1">
        <w:r w:rsidR="007F2455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https://public.flourish.studio/visualisation/14013033/</w:t>
        </w:r>
      </w:hyperlink>
    </w:p>
    <w:p w14:paraId="6E80FD89" w14:textId="77777777" w:rsidR="007F2455" w:rsidRDefault="007F2455" w:rsidP="00CD49B9">
      <w:pPr>
        <w:rPr>
          <w:rFonts w:ascii="Cambria Math" w:hAnsi="Cambria Math"/>
          <w:sz w:val="30"/>
          <w:szCs w:val="30"/>
          <w:lang w:val="it-IT"/>
        </w:rPr>
      </w:pPr>
    </w:p>
    <w:p w14:paraId="36185FDC" w14:textId="032A53C9" w:rsidR="00955424" w:rsidRDefault="005B3EF9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numero 2</w:t>
      </w:r>
    </w:p>
    <w:p w14:paraId="7FFA10AD" w14:textId="5D28AA24" w:rsidR="005B3EF9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11" w:history="1">
        <w:r w:rsidR="005B3EF9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https://public.flourish.studio/visualisation/13977037/</w:t>
        </w:r>
      </w:hyperlink>
    </w:p>
    <w:p w14:paraId="2A1A5720" w14:textId="77777777" w:rsidR="005B3EF9" w:rsidRDefault="005B3EF9" w:rsidP="00CD49B9">
      <w:pPr>
        <w:rPr>
          <w:rFonts w:ascii="Cambria Math" w:hAnsi="Cambria Math"/>
          <w:sz w:val="30"/>
          <w:szCs w:val="30"/>
          <w:lang w:val="it-IT"/>
        </w:rPr>
      </w:pPr>
    </w:p>
    <w:p w14:paraId="710CCF5D" w14:textId="64D4EAD6" w:rsidR="005B3EF9" w:rsidRDefault="005B3EF9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numero 4</w:t>
      </w:r>
    </w:p>
    <w:p w14:paraId="25670AD9" w14:textId="69B58EA2" w:rsidR="005B3EF9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12" w:history="1">
        <w:r w:rsidR="005B3EF9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https://public.flourish.studio/visualisation/13977197/</w:t>
        </w:r>
      </w:hyperlink>
    </w:p>
    <w:p w14:paraId="3C1BAB7C" w14:textId="77777777" w:rsidR="005B3EF9" w:rsidRDefault="005B3EF9" w:rsidP="00CD49B9">
      <w:pPr>
        <w:rPr>
          <w:rFonts w:ascii="Cambria Math" w:hAnsi="Cambria Math"/>
          <w:sz w:val="30"/>
          <w:szCs w:val="30"/>
          <w:lang w:val="it-IT"/>
        </w:rPr>
      </w:pPr>
    </w:p>
    <w:p w14:paraId="7D18DB14" w14:textId="576B0D31" w:rsidR="005B3EF9" w:rsidRDefault="0015637D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numero 5</w:t>
      </w:r>
    </w:p>
    <w:p w14:paraId="51A08DA5" w14:textId="52ECB913" w:rsidR="0015637D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13" w:history="1">
        <w:r w:rsidR="0015637D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https://public.flourish.studio/visualisation/14013099/</w:t>
        </w:r>
      </w:hyperlink>
    </w:p>
    <w:p w14:paraId="69165E4E" w14:textId="77777777" w:rsidR="0015637D" w:rsidRDefault="0015637D" w:rsidP="00CD49B9">
      <w:pPr>
        <w:rPr>
          <w:rFonts w:ascii="Cambria Math" w:hAnsi="Cambria Math"/>
          <w:sz w:val="30"/>
          <w:szCs w:val="30"/>
          <w:lang w:val="it-IT"/>
        </w:rPr>
      </w:pPr>
    </w:p>
    <w:p w14:paraId="35477785" w14:textId="480CE1C0" w:rsidR="0084670A" w:rsidRDefault="0084670A" w:rsidP="00CD49B9">
      <w:pPr>
        <w:rPr>
          <w:rFonts w:ascii="Cambria Math" w:hAnsi="Cambria Math"/>
          <w:sz w:val="30"/>
          <w:szCs w:val="30"/>
          <w:lang w:val="it-IT"/>
        </w:rPr>
      </w:pPr>
      <w:r>
        <w:rPr>
          <w:rFonts w:ascii="Cambria Math" w:hAnsi="Cambria Math"/>
          <w:sz w:val="30"/>
          <w:szCs w:val="30"/>
          <w:lang w:val="it-IT"/>
        </w:rPr>
        <w:t>Missione numero 6</w:t>
      </w:r>
    </w:p>
    <w:p w14:paraId="1849F339" w14:textId="7087270E" w:rsidR="0084670A" w:rsidRDefault="00062F85" w:rsidP="00CD49B9">
      <w:pPr>
        <w:rPr>
          <w:rFonts w:ascii="Cambria Math" w:hAnsi="Cambria Math"/>
          <w:sz w:val="30"/>
          <w:szCs w:val="30"/>
          <w:lang w:val="it-IT"/>
        </w:rPr>
      </w:pPr>
      <w:hyperlink r:id="rId14" w:history="1">
        <w:r w:rsidR="007F2455" w:rsidRPr="004028AE">
          <w:rPr>
            <w:rStyle w:val="Hyperlink"/>
            <w:rFonts w:ascii="Cambria Math" w:hAnsi="Cambria Math"/>
            <w:sz w:val="30"/>
            <w:szCs w:val="30"/>
            <w:lang w:val="it-IT"/>
          </w:rPr>
          <w:t>https://public.flourish.studio/visualisation/14013119/</w:t>
        </w:r>
      </w:hyperlink>
    </w:p>
    <w:p w14:paraId="193F8947" w14:textId="77777777" w:rsidR="007F2455" w:rsidRDefault="007F2455" w:rsidP="00CD49B9">
      <w:pPr>
        <w:rPr>
          <w:rFonts w:ascii="Cambria Math" w:hAnsi="Cambria Math"/>
          <w:sz w:val="30"/>
          <w:szCs w:val="30"/>
          <w:lang w:val="it-IT"/>
        </w:rPr>
      </w:pPr>
    </w:p>
    <w:p w14:paraId="543BECB3" w14:textId="77777777" w:rsidR="0015637D" w:rsidRDefault="0015637D" w:rsidP="00CD49B9">
      <w:pPr>
        <w:rPr>
          <w:rFonts w:ascii="Cambria Math" w:hAnsi="Cambria Math"/>
          <w:sz w:val="30"/>
          <w:szCs w:val="30"/>
          <w:lang w:val="it-IT"/>
        </w:rPr>
      </w:pPr>
    </w:p>
    <w:p w14:paraId="1345656F" w14:textId="77777777" w:rsidR="00EE319C" w:rsidRPr="00955BDC" w:rsidRDefault="00EE319C" w:rsidP="00CD49B9">
      <w:pPr>
        <w:rPr>
          <w:rFonts w:ascii="Cambria Math" w:hAnsi="Cambria Math"/>
          <w:sz w:val="30"/>
          <w:szCs w:val="30"/>
          <w:lang w:val="it-IT"/>
        </w:rPr>
      </w:pPr>
    </w:p>
    <w:sectPr w:rsidR="00EE319C" w:rsidRPr="00955BDC" w:rsidSect="007866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FA78" w14:textId="77777777" w:rsidR="00C86073" w:rsidRDefault="00C86073" w:rsidP="00F559F1">
      <w:pPr>
        <w:spacing w:after="0" w:line="240" w:lineRule="auto"/>
      </w:pPr>
      <w:r>
        <w:separator/>
      </w:r>
    </w:p>
  </w:endnote>
  <w:endnote w:type="continuationSeparator" w:id="0">
    <w:p w14:paraId="1C296EE4" w14:textId="77777777" w:rsidR="00C86073" w:rsidRDefault="00C86073" w:rsidP="00F5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D323" w14:textId="77777777" w:rsidR="00C86073" w:rsidRDefault="00C86073" w:rsidP="00F559F1">
      <w:pPr>
        <w:spacing w:after="0" w:line="240" w:lineRule="auto"/>
      </w:pPr>
      <w:r>
        <w:separator/>
      </w:r>
    </w:p>
  </w:footnote>
  <w:footnote w:type="continuationSeparator" w:id="0">
    <w:p w14:paraId="0B6F233F" w14:textId="77777777" w:rsidR="00C86073" w:rsidRDefault="00C86073" w:rsidP="00F55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C4D"/>
    <w:multiLevelType w:val="hybridMultilevel"/>
    <w:tmpl w:val="5A943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274DB"/>
    <w:multiLevelType w:val="hybridMultilevel"/>
    <w:tmpl w:val="7AA4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8407">
    <w:abstractNumId w:val="1"/>
  </w:num>
  <w:num w:numId="2" w16cid:durableId="108560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1"/>
    <w:rsid w:val="000124C3"/>
    <w:rsid w:val="0005403B"/>
    <w:rsid w:val="00062F85"/>
    <w:rsid w:val="000B2362"/>
    <w:rsid w:val="000D5733"/>
    <w:rsid w:val="000F6A75"/>
    <w:rsid w:val="0010185C"/>
    <w:rsid w:val="00114F97"/>
    <w:rsid w:val="00142843"/>
    <w:rsid w:val="00151091"/>
    <w:rsid w:val="0015637D"/>
    <w:rsid w:val="00156CB3"/>
    <w:rsid w:val="001636E0"/>
    <w:rsid w:val="00163A1C"/>
    <w:rsid w:val="001913E5"/>
    <w:rsid w:val="001B5026"/>
    <w:rsid w:val="001B7B73"/>
    <w:rsid w:val="001E63A6"/>
    <w:rsid w:val="002226CA"/>
    <w:rsid w:val="00290690"/>
    <w:rsid w:val="002C3E0E"/>
    <w:rsid w:val="002D0E19"/>
    <w:rsid w:val="00316B6C"/>
    <w:rsid w:val="00336898"/>
    <w:rsid w:val="00356A9B"/>
    <w:rsid w:val="00372019"/>
    <w:rsid w:val="00374D0F"/>
    <w:rsid w:val="0039425A"/>
    <w:rsid w:val="003A3595"/>
    <w:rsid w:val="003B7C99"/>
    <w:rsid w:val="003F585A"/>
    <w:rsid w:val="004728BD"/>
    <w:rsid w:val="00472C76"/>
    <w:rsid w:val="004B39F0"/>
    <w:rsid w:val="004B405D"/>
    <w:rsid w:val="004C0BB0"/>
    <w:rsid w:val="004D10F0"/>
    <w:rsid w:val="004E7887"/>
    <w:rsid w:val="00517BF0"/>
    <w:rsid w:val="0053266D"/>
    <w:rsid w:val="00540EAE"/>
    <w:rsid w:val="00551C59"/>
    <w:rsid w:val="005A6BA3"/>
    <w:rsid w:val="005B3EF9"/>
    <w:rsid w:val="005D5FE7"/>
    <w:rsid w:val="005E4A7D"/>
    <w:rsid w:val="00633D5E"/>
    <w:rsid w:val="006500AD"/>
    <w:rsid w:val="0067264E"/>
    <w:rsid w:val="0067444A"/>
    <w:rsid w:val="00676CE4"/>
    <w:rsid w:val="00685AD4"/>
    <w:rsid w:val="006A2CFD"/>
    <w:rsid w:val="006B2BA6"/>
    <w:rsid w:val="006E0750"/>
    <w:rsid w:val="0070637B"/>
    <w:rsid w:val="007477B6"/>
    <w:rsid w:val="00747C7C"/>
    <w:rsid w:val="00770C7C"/>
    <w:rsid w:val="00772413"/>
    <w:rsid w:val="007866A9"/>
    <w:rsid w:val="007F2455"/>
    <w:rsid w:val="007F356F"/>
    <w:rsid w:val="007F48C0"/>
    <w:rsid w:val="007F6B62"/>
    <w:rsid w:val="00804882"/>
    <w:rsid w:val="0084670A"/>
    <w:rsid w:val="00846A0C"/>
    <w:rsid w:val="0088196E"/>
    <w:rsid w:val="0088611F"/>
    <w:rsid w:val="008A1352"/>
    <w:rsid w:val="008F75FC"/>
    <w:rsid w:val="0094477F"/>
    <w:rsid w:val="00955424"/>
    <w:rsid w:val="00955BDC"/>
    <w:rsid w:val="0097164F"/>
    <w:rsid w:val="009766C1"/>
    <w:rsid w:val="009C25DE"/>
    <w:rsid w:val="009C2AF4"/>
    <w:rsid w:val="00A116AC"/>
    <w:rsid w:val="00A119A2"/>
    <w:rsid w:val="00A15D12"/>
    <w:rsid w:val="00A45A35"/>
    <w:rsid w:val="00A5648B"/>
    <w:rsid w:val="00A56818"/>
    <w:rsid w:val="00A60ABB"/>
    <w:rsid w:val="00A92CB4"/>
    <w:rsid w:val="00AB5EE0"/>
    <w:rsid w:val="00AD51D7"/>
    <w:rsid w:val="00B265B7"/>
    <w:rsid w:val="00B26B8C"/>
    <w:rsid w:val="00B35AA6"/>
    <w:rsid w:val="00BA3550"/>
    <w:rsid w:val="00BE7940"/>
    <w:rsid w:val="00BF1074"/>
    <w:rsid w:val="00C26AE7"/>
    <w:rsid w:val="00C36CFD"/>
    <w:rsid w:val="00C86073"/>
    <w:rsid w:val="00CD49B9"/>
    <w:rsid w:val="00D30B36"/>
    <w:rsid w:val="00D62A11"/>
    <w:rsid w:val="00D74902"/>
    <w:rsid w:val="00D86D0C"/>
    <w:rsid w:val="00DE663C"/>
    <w:rsid w:val="00E063EE"/>
    <w:rsid w:val="00E21CA4"/>
    <w:rsid w:val="00E46348"/>
    <w:rsid w:val="00E5226E"/>
    <w:rsid w:val="00E75728"/>
    <w:rsid w:val="00EE319C"/>
    <w:rsid w:val="00F559F1"/>
    <w:rsid w:val="00F90004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2F25A"/>
  <w15:chartTrackingRefBased/>
  <w15:docId w15:val="{9B840284-A89B-4980-B71A-4FA0301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F1"/>
  </w:style>
  <w:style w:type="paragraph" w:styleId="Footer">
    <w:name w:val="footer"/>
    <w:basedOn w:val="Normal"/>
    <w:link w:val="FooterChar"/>
    <w:uiPriority w:val="99"/>
    <w:unhideWhenUsed/>
    <w:rsid w:val="00F559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F1"/>
  </w:style>
  <w:style w:type="paragraph" w:styleId="ListParagraph">
    <w:name w:val="List Paragraph"/>
    <w:basedOn w:val="Normal"/>
    <w:uiPriority w:val="34"/>
    <w:qFormat/>
    <w:rsid w:val="00CD49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flourish.studio/visualisation/13933867/" TargetMode="External"/><Relationship Id="rId13" Type="http://schemas.openxmlformats.org/officeDocument/2006/relationships/hyperlink" Target="https://public.flourish.studio/visualisation/140130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aliadomani.gov.it/content/sogei-ng/it/it/catalogo-open-data.html?orderby=%40jcr%3Acontent%2FobservationDateInEvidence&amp;sort=desc" TargetMode="External"/><Relationship Id="rId12" Type="http://schemas.openxmlformats.org/officeDocument/2006/relationships/hyperlink" Target="https://public.flourish.studio/visualisation/1397719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lic.flourish.studio/visualisation/13977037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ublic.flourish.studio/visualisation/1401303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flourish.studio/visualisation/13954673/" TargetMode="External"/><Relationship Id="rId14" Type="http://schemas.openxmlformats.org/officeDocument/2006/relationships/hyperlink" Target="https://public.flourish.studio/visualisation/14013119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Marchesin</dc:creator>
  <cp:keywords/>
  <dc:description/>
  <cp:lastModifiedBy>Leonardo Marchesin</cp:lastModifiedBy>
  <cp:revision>91</cp:revision>
  <dcterms:created xsi:type="dcterms:W3CDTF">2023-06-04T08:31:00Z</dcterms:created>
  <dcterms:modified xsi:type="dcterms:W3CDTF">2023-06-07T08:02:00Z</dcterms:modified>
</cp:coreProperties>
</file>