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1BE2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 xml:space="preserve">SENHORA DOUTORA JUÍZA RELATORA LUCIANA MARES NASR DA 1ª SEÇÃO DE DISSÍDIOS INDIVIDUAIS DO EGRÉGIO TRIBUNAL REGIONAL DO TRABALHO DA 15ª REGIÃO – CAMPINAS/SP. </w:t>
      </w:r>
    </w:p>
    <w:p w14:paraId="14E8DEE6"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MANDADO DE SEGURANÇA Nº 0022708-31.2025.5.15.0000</w:t>
      </w:r>
    </w:p>
    <w:p w14:paraId="44BBD347"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MARCELO ROSA</w:t>
      </w:r>
      <w:r>
        <w:rPr>
          <w:rFonts w:ascii="Calibri" w:hAnsi="Calibri" w:cs="Calibri"/>
          <w:color w:val="000000"/>
          <w:sz w:val="22"/>
          <w:szCs w:val="22"/>
        </w:rPr>
        <w:t xml:space="preserve">, já devidamente qualificado nos autos do Mandado de Segurança em epígrafe, impetrado contra ato do </w:t>
      </w:r>
      <w:r>
        <w:rPr>
          <w:rStyle w:val="Forte"/>
          <w:rFonts w:ascii="Calibri" w:eastAsiaTheme="majorEastAsia" w:hAnsi="Calibri" w:cs="Calibri"/>
          <w:color w:val="000000"/>
          <w:sz w:val="22"/>
          <w:szCs w:val="22"/>
          <w:bdr w:val="single" w:sz="2" w:space="0" w:color="E2E8F0" w:frame="1"/>
        </w:rPr>
        <w:t>MM. JUÍZO DA 3ª VARA DO TRABALHO DE PIRACICABA/SP</w:t>
      </w:r>
      <w:r>
        <w:rPr>
          <w:rFonts w:ascii="Calibri" w:hAnsi="Calibri" w:cs="Calibri"/>
          <w:color w:val="000000"/>
          <w:sz w:val="22"/>
          <w:szCs w:val="22"/>
        </w:rPr>
        <w:t xml:space="preserve">, por seus advogados que </w:t>
      </w:r>
      <w:proofErr w:type="gramStart"/>
      <w:r>
        <w:rPr>
          <w:rFonts w:ascii="Calibri" w:hAnsi="Calibri" w:cs="Calibri"/>
          <w:color w:val="000000"/>
          <w:sz w:val="22"/>
          <w:szCs w:val="22"/>
        </w:rPr>
        <w:t>esta subscrevem</w:t>
      </w:r>
      <w:proofErr w:type="gramEnd"/>
      <w:r>
        <w:rPr>
          <w:rFonts w:ascii="Calibri" w:hAnsi="Calibri" w:cs="Calibri"/>
          <w:color w:val="000000"/>
          <w:sz w:val="22"/>
          <w:szCs w:val="22"/>
        </w:rPr>
        <w:t xml:space="preserve">, vem, respeitosamente, com fulcro no disposto no artigo 895, inciso II da CLT e na Súmula nº 201 do c. TST, interpor o presente </w:t>
      </w:r>
      <w:r>
        <w:rPr>
          <w:rStyle w:val="Forte"/>
          <w:rFonts w:ascii="Calibri" w:eastAsiaTheme="majorEastAsia" w:hAnsi="Calibri" w:cs="Calibri"/>
          <w:color w:val="000000"/>
          <w:sz w:val="22"/>
          <w:szCs w:val="22"/>
          <w:bdr w:val="single" w:sz="2" w:space="0" w:color="E2E8F0" w:frame="1"/>
        </w:rPr>
        <w:t>RECURSO ORDINÁRIO com pedido de efeito suspensivo</w:t>
      </w:r>
      <w:r>
        <w:rPr>
          <w:rFonts w:ascii="Calibri" w:hAnsi="Calibri" w:cs="Calibri"/>
          <w:color w:val="000000"/>
          <w:sz w:val="22"/>
          <w:szCs w:val="22"/>
        </w:rPr>
        <w:t xml:space="preserve">, nos termos das razões anexas, requerendo seu regular recebimento, processamento e remessa ao Tribunal </w:t>
      </w:r>
      <w:r>
        <w:rPr>
          <w:rStyle w:val="nfase"/>
          <w:rFonts w:ascii="Calibri" w:eastAsiaTheme="majorEastAsia" w:hAnsi="Calibri" w:cs="Calibri"/>
          <w:color w:val="000000"/>
          <w:sz w:val="22"/>
          <w:szCs w:val="22"/>
          <w:bdr w:val="single" w:sz="2" w:space="0" w:color="E2E8F0" w:frame="1"/>
        </w:rPr>
        <w:t>ad quem</w:t>
      </w:r>
      <w:r>
        <w:rPr>
          <w:rFonts w:ascii="Calibri" w:hAnsi="Calibri" w:cs="Calibri"/>
          <w:color w:val="000000"/>
          <w:sz w:val="22"/>
          <w:szCs w:val="22"/>
        </w:rPr>
        <w:t>.</w:t>
      </w:r>
    </w:p>
    <w:p w14:paraId="74A52DB2"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Quanto à tempestividade da presente medida, inicialmente, informa o recorrente que o v. acórdão de ID. 4ae5197 foi publicado em 19/02/2026. Assim, o prazo para apresentação do presente recurso </w:t>
      </w:r>
      <w:r>
        <w:rPr>
          <w:rStyle w:val="Forte"/>
          <w:rFonts w:ascii="Calibri" w:eastAsiaTheme="majorEastAsia" w:hAnsi="Calibri" w:cs="Calibri"/>
          <w:color w:val="000000"/>
          <w:sz w:val="22"/>
          <w:szCs w:val="22"/>
          <w:bdr w:val="single" w:sz="2" w:space="0" w:color="E2E8F0" w:frame="1"/>
        </w:rPr>
        <w:t>tem como data final o dia 03/03/2026</w:t>
      </w:r>
      <w:r>
        <w:rPr>
          <w:rFonts w:ascii="Calibri" w:hAnsi="Calibri" w:cs="Calibri"/>
          <w:color w:val="000000"/>
          <w:sz w:val="22"/>
          <w:szCs w:val="22"/>
        </w:rPr>
        <w:t xml:space="preserve">. </w:t>
      </w:r>
    </w:p>
    <w:p w14:paraId="7FD6FCD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No mais, imperioso ressaltar que o v. acórdão de ID. 4ae5197 deferiu ao recorrente os benefícios da justiça gratuita, razão pela qual não há que se falar em recolhimento de depósito recursal ou de custas, das quais restou isento.</w:t>
      </w:r>
    </w:p>
    <w:p w14:paraId="75AFF6E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Termos em que,</w:t>
      </w:r>
    </w:p>
    <w:p w14:paraId="7AA04B3E"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Pede e espera deferimento.</w:t>
      </w:r>
    </w:p>
    <w:p w14:paraId="72737A70"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Campinas/SP, 02 de março de 2026.</w:t>
      </w:r>
    </w:p>
    <w:p w14:paraId="532D10B3"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GUSTAVO BISMARCHI MOTTA</w:t>
      </w:r>
    </w:p>
    <w:p w14:paraId="02E6802B"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OAB/SP Nº 275.477</w:t>
      </w:r>
    </w:p>
    <w:p w14:paraId="5FCF9CA1"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RICARDO VISCARDI PIRES</w:t>
      </w:r>
    </w:p>
    <w:p w14:paraId="3AB8B05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OAB/SP Nº 353.389</w:t>
      </w:r>
    </w:p>
    <w:p w14:paraId="5A52FBDC"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C. TRIBUNAL SUPERIOR DO TRABALHO</w:t>
      </w:r>
    </w:p>
    <w:p w14:paraId="3C950E7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RAZÕES DE RECURSO ORDINÁRIO</w:t>
      </w:r>
    </w:p>
    <w:p w14:paraId="3D5912D8"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MANDADO DE SEGURANÇA Nº 0022708-31.2025.5.15.0000</w:t>
      </w:r>
    </w:p>
    <w:p w14:paraId="1D34CEF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RECORRENTE: MARCELO ROSA</w:t>
      </w:r>
    </w:p>
    <w:p w14:paraId="0DF4EC85"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RECORRIDO: MM. JUÍZO DA 3ª VARA DO TRABALHO DE PIRACICABA/SP</w:t>
      </w:r>
    </w:p>
    <w:p w14:paraId="0822576D"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Egrégio Tribunal,</w:t>
      </w:r>
    </w:p>
    <w:p w14:paraId="2880B16A"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Colenda Câmara,</w:t>
      </w:r>
    </w:p>
    <w:p w14:paraId="6C22E78D"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Nobres Julgadores.</w:t>
      </w:r>
    </w:p>
    <w:p w14:paraId="121A0755"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O v. acórdão recorrido, proferido nos autos do Mandado de Segurança nº 0022708-31.2025.5.15.0000, embora tenha conhecido da medida constitucional impetrada pelo ora recorrente, houve por bem </w:t>
      </w:r>
      <w:r>
        <w:rPr>
          <w:rStyle w:val="Forte"/>
          <w:rFonts w:ascii="Calibri" w:eastAsiaTheme="majorEastAsia" w:hAnsi="Calibri" w:cs="Calibri"/>
          <w:color w:val="000000"/>
          <w:sz w:val="22"/>
          <w:szCs w:val="22"/>
          <w:bdr w:val="single" w:sz="2" w:space="0" w:color="E2E8F0" w:frame="1"/>
        </w:rPr>
        <w:t>denegar a segurança</w:t>
      </w:r>
      <w:r>
        <w:rPr>
          <w:rFonts w:ascii="Calibri" w:hAnsi="Calibri" w:cs="Calibri"/>
          <w:color w:val="000000"/>
          <w:sz w:val="22"/>
          <w:szCs w:val="22"/>
        </w:rPr>
        <w:t>, cassando a liminar anteriormente deferida e mantendo a decisão da autoridade coatora que determinou a suspensão da Reclamação Trabalhista nº 0011713-67.2024.5.15.0137, sob o fundamento de incidência do Tema 1389 da Repercussão Geral do Supremo Tribunal Federal.</w:t>
      </w:r>
    </w:p>
    <w:p w14:paraId="0B980C24"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Entendeu a E. Corte Regional que a controvérsia deduzida na ação principal estaria abrangida pela ordem de suspensão nacional determinada no âmbito do ARE 1.532.603 (Tema 1389), razão pela qual seria legítima a paralisação integral do feito até ulterior deliberação da Suprema Corte.</w:t>
      </w:r>
    </w:p>
    <w:p w14:paraId="631686C2"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Todavia, com o devido respeito ao entendimento adotado, o v. acórdão merece integral reforma, porquanto ampliou indevidamente o alcance do Tema 1389 do STF, aplicando-o a hipótese fática que não guarda aderência estrita com o paradigma de repercussão geral, em manifesta afronta aos </w:t>
      </w:r>
      <w:proofErr w:type="spellStart"/>
      <w:r>
        <w:rPr>
          <w:rFonts w:ascii="Calibri" w:hAnsi="Calibri" w:cs="Calibri"/>
          <w:color w:val="000000"/>
          <w:sz w:val="22"/>
          <w:szCs w:val="22"/>
        </w:rPr>
        <w:t>arts</w:t>
      </w:r>
      <w:proofErr w:type="spellEnd"/>
      <w:r>
        <w:rPr>
          <w:rFonts w:ascii="Calibri" w:hAnsi="Calibri" w:cs="Calibri"/>
          <w:color w:val="000000"/>
          <w:sz w:val="22"/>
          <w:szCs w:val="22"/>
        </w:rPr>
        <w:t>. 5º, incisos XXXV e LXXVIII, da Constituição Federal, bem como aos princípios da primazia da realidade e da efetividade da tutela jurisdicional.</w:t>
      </w:r>
    </w:p>
    <w:p w14:paraId="723CBDD4"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 manutenção da suspensão do processo de origem, em contexto no qual não há aderência estrita entre a controvérsia dos autos e o objeto delimitado no Tema 1389 do STF, viola direito líquido e certo do recorrente ao regular prosseguimento da instrução processual, impondo-lhe sobrestamento por prazo indeterminado em demanda que versa sobre créditos de </w:t>
      </w:r>
      <w:r>
        <w:rPr>
          <w:rStyle w:val="Forte"/>
          <w:rFonts w:ascii="Calibri" w:eastAsiaTheme="majorEastAsia" w:hAnsi="Calibri" w:cs="Calibri"/>
          <w:color w:val="000000"/>
          <w:sz w:val="22"/>
          <w:szCs w:val="22"/>
          <w:bdr w:val="single" w:sz="2" w:space="0" w:color="E2E8F0" w:frame="1"/>
        </w:rPr>
        <w:t>natureza alimentar.</w:t>
      </w:r>
    </w:p>
    <w:p w14:paraId="1F4B69CD"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 xml:space="preserve">Assim, em que pese os fundamentos expostos pelos MM. Desembargadores </w:t>
      </w:r>
      <w:r>
        <w:rPr>
          <w:rStyle w:val="nfase"/>
          <w:rFonts w:ascii="Calibri" w:eastAsiaTheme="majorEastAsia" w:hAnsi="Calibri" w:cs="Calibri"/>
          <w:color w:val="000000"/>
          <w:sz w:val="22"/>
          <w:szCs w:val="22"/>
          <w:bdr w:val="single" w:sz="2" w:space="0" w:color="E2E8F0" w:frame="1"/>
        </w:rPr>
        <w:t>a quo</w:t>
      </w:r>
      <w:r>
        <w:rPr>
          <w:rFonts w:ascii="Calibri" w:hAnsi="Calibri" w:cs="Calibri"/>
          <w:color w:val="000000"/>
          <w:sz w:val="22"/>
          <w:szCs w:val="22"/>
        </w:rPr>
        <w:t xml:space="preserve">, o v. acórdão merece reforma pelas razões abaixo expostas. </w:t>
      </w:r>
    </w:p>
    <w:p w14:paraId="2B2693A6"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EFEITO SUSPENSIVO</w:t>
      </w:r>
    </w:p>
    <w:p w14:paraId="01FB074C"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Inicialmente, o recorrente informa que apresentará, por meio da petição apropriada, o pedido de efeito suspensivo ao presente recurso ordinário, no que se refere à manutenção da decisão liminar que afastou a suspensão processual para a designação de audiência de instrução processual. </w:t>
      </w:r>
    </w:p>
    <w:p w14:paraId="1653A6BC"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BREVE SÍNTESE DA DEMANDA</w:t>
      </w:r>
    </w:p>
    <w:p w14:paraId="22302FA6"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Em apertada síntese, o ora Recorrente ajuizou Reclamação Trabalhista em face de CERBA DESTILARIA DE ÁLCOOL LTDA. e TOMMY LOG TRANSPORTES LTDA., a qual tramita sob o nº 0011713-67.2024.5.15.0137, perante a 3ª Vara do Trabalho de Piracicaba/SP.</w:t>
      </w:r>
    </w:p>
    <w:p w14:paraId="2DA0CA5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Na ação principal, postula, dentre outros pedidos, o reconhecimento de vínculo empregatício no período de 01/08/2017 a 23/10/2023, com anotação em CTPS, recolhimentos de FGTS e contribuições previdenciárias, pagamento de verbas rescisórias, integração de comissões, adicional de periculosidade, salários inadimplidos e indenização por danos morais, sob o fundamento de que foi submetido a típica relação de emprego mascarada sob a forma de contratação por pessoa jurídica – em </w:t>
      </w:r>
      <w:r>
        <w:rPr>
          <w:rStyle w:val="Forte"/>
          <w:rFonts w:ascii="Calibri" w:eastAsiaTheme="majorEastAsia" w:hAnsi="Calibri" w:cs="Calibri"/>
          <w:color w:val="000000"/>
          <w:sz w:val="22"/>
          <w:szCs w:val="22"/>
          <w:bdr w:val="single" w:sz="2" w:space="0" w:color="E2E8F0" w:frame="1"/>
        </w:rPr>
        <w:t>que pese inexista contrato de prestação de serviços formalizado.</w:t>
      </w:r>
    </w:p>
    <w:p w14:paraId="0C807AE7"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O feito encontrava-se em regular trâmite, com apresentação de defesa (tese defensiva no sentido de que o recorrente seria Representante Comercial), réplica, produção de prova pericial e designação de audiência de instrução, quando a parte reclamada requereu a suspensão do processo sob alegação de incidência do Tema 1389 da Repercussão Geral do STF.</w:t>
      </w:r>
    </w:p>
    <w:p w14:paraId="37F7A1F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 autoridade apontada como coatora, acolhendo tal pleito, determinou a suspensão integral da Reclamação Trabalhista até ulterior deliberação da Suprema Corte acerca do Tema 1389, obstando o prosseguimento da instrução probatória.</w:t>
      </w:r>
    </w:p>
    <w:p w14:paraId="320D8DD2"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Diante dessa decisão, foi impetrado o presente Mandado de Segurança visando o cancelamento da suspensão, sob o fundamento de que a controvérsia dos autos não se equivale ao paradigma fixado no referido tema de repercussão geral, notadamente porque não há discussão sobre validade de contrato civil típico à luz da ADPF 324, mas sim pedido direto de reconhecimento de vínculo de emprego com base na primazia da realidade.</w:t>
      </w:r>
    </w:p>
    <w:p w14:paraId="4D068C40"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Em sede liminar, </w:t>
      </w:r>
      <w:r>
        <w:rPr>
          <w:rStyle w:val="Forte"/>
          <w:rFonts w:ascii="Calibri" w:eastAsiaTheme="majorEastAsia" w:hAnsi="Calibri" w:cs="Calibri"/>
          <w:color w:val="000000"/>
          <w:sz w:val="22"/>
          <w:szCs w:val="22"/>
          <w:bdr w:val="single" w:sz="2" w:space="0" w:color="E2E8F0" w:frame="1"/>
        </w:rPr>
        <w:t>a segurança foi inicialmente deferida, razão pela qual, inclusive, a autoridade coatora designou audiência de instrução para 03/06/2026.</w:t>
      </w:r>
      <w:r>
        <w:rPr>
          <w:rFonts w:ascii="Calibri" w:hAnsi="Calibri" w:cs="Calibri"/>
          <w:color w:val="000000"/>
          <w:sz w:val="22"/>
          <w:szCs w:val="22"/>
        </w:rPr>
        <w:t xml:space="preserve"> Todavia, quando do julgamento do mérito, o e. Tribunal Regional denegou a ordem, cassando a liminar anteriormente concedida e mantendo a suspensão do processo originário, o que enseja a interposição do presente Recurso Ordinário.</w:t>
      </w:r>
    </w:p>
    <w:p w14:paraId="0F3F60B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Assim sendo, </w:t>
      </w:r>
      <w:r>
        <w:rPr>
          <w:rStyle w:val="nfase"/>
          <w:rFonts w:ascii="Calibri" w:eastAsiaTheme="majorEastAsia" w:hAnsi="Calibri" w:cs="Calibri"/>
          <w:color w:val="000000"/>
          <w:sz w:val="22"/>
          <w:szCs w:val="22"/>
          <w:bdr w:val="single" w:sz="2" w:space="0" w:color="E2E8F0" w:frame="1"/>
        </w:rPr>
        <w:t xml:space="preserve">data </w:t>
      </w:r>
      <w:proofErr w:type="spellStart"/>
      <w:r>
        <w:rPr>
          <w:rStyle w:val="nfase"/>
          <w:rFonts w:ascii="Calibri" w:eastAsiaTheme="majorEastAsia" w:hAnsi="Calibri" w:cs="Calibri"/>
          <w:color w:val="000000"/>
          <w:sz w:val="22"/>
          <w:szCs w:val="22"/>
          <w:bdr w:val="single" w:sz="2" w:space="0" w:color="E2E8F0" w:frame="1"/>
        </w:rPr>
        <w:t>maxima</w:t>
      </w:r>
      <w:proofErr w:type="spellEnd"/>
      <w:r>
        <w:rPr>
          <w:rStyle w:val="nfase"/>
          <w:rFonts w:ascii="Calibri" w:eastAsiaTheme="majorEastAsia" w:hAnsi="Calibri" w:cs="Calibri"/>
          <w:color w:val="000000"/>
          <w:sz w:val="22"/>
          <w:szCs w:val="22"/>
          <w:bdr w:val="single" w:sz="2" w:space="0" w:color="E2E8F0" w:frame="1"/>
        </w:rPr>
        <w:t xml:space="preserve"> </w:t>
      </w:r>
      <w:proofErr w:type="spellStart"/>
      <w:r>
        <w:rPr>
          <w:rStyle w:val="nfase"/>
          <w:rFonts w:ascii="Calibri" w:eastAsiaTheme="majorEastAsia" w:hAnsi="Calibri" w:cs="Calibri"/>
          <w:color w:val="000000"/>
          <w:sz w:val="22"/>
          <w:szCs w:val="22"/>
          <w:bdr w:val="single" w:sz="2" w:space="0" w:color="E2E8F0" w:frame="1"/>
        </w:rPr>
        <w:t>venia</w:t>
      </w:r>
      <w:proofErr w:type="spellEnd"/>
      <w:r>
        <w:rPr>
          <w:rFonts w:ascii="Calibri" w:hAnsi="Calibri" w:cs="Calibri"/>
          <w:color w:val="000000"/>
          <w:sz w:val="22"/>
          <w:szCs w:val="22"/>
        </w:rPr>
        <w:t xml:space="preserve">, e sem ofuscar o brilhantismo das decisões exaradas pelos d. Desembargadores, entende o recorrente que o v. acórdão ora recorrido merece reforma, o que pretende buscar pela presente via recursal, nos termos adiante aduzidos. </w:t>
      </w:r>
    </w:p>
    <w:p w14:paraId="0D6E5B26"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DAS RAZÕES DE REFORMA – DO DIREITO LÍQUIDO E CERTO</w:t>
      </w:r>
    </w:p>
    <w:p w14:paraId="5DAB6E4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 suspensão da Reclamação Trabalhista nº 0011713-67.2024.5.15.0137, determinada pela decisão anexa sob ID c250211 e mantida pelo v. Acórdão recorrido, viola direito líquido e certo do Recorrente, por afronta aos </w:t>
      </w:r>
      <w:proofErr w:type="spellStart"/>
      <w:r>
        <w:rPr>
          <w:rFonts w:ascii="Calibri" w:hAnsi="Calibri" w:cs="Calibri"/>
          <w:color w:val="000000"/>
          <w:sz w:val="22"/>
          <w:szCs w:val="22"/>
        </w:rPr>
        <w:t>arts</w:t>
      </w:r>
      <w:proofErr w:type="spellEnd"/>
      <w:r>
        <w:rPr>
          <w:rFonts w:ascii="Calibri" w:hAnsi="Calibri" w:cs="Calibri"/>
          <w:color w:val="000000"/>
          <w:sz w:val="22"/>
          <w:szCs w:val="22"/>
        </w:rPr>
        <w:t>. 5º, incisos XXXV e LXXVIII, da Constituição Federal, ao art. 4º do CPC, ao art. 9º da CLT e ao art. 765 da CLT.</w:t>
      </w:r>
    </w:p>
    <w:p w14:paraId="14B2CA2D"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 decisão impugnada aplicou, de forma automática, a ordem de suspensão decorrente do Tema 1389 da Repercussão Geral do Supremo Tribunal Federal (ARE 1.532.603 RG/PR), sem a necessária verificação de aderência estrita entre o paradigma fixado e a controvérsia dos autos.</w:t>
      </w:r>
    </w:p>
    <w:p w14:paraId="2A02EA27"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Conforme delimitado pelo Ministro Gilmar Mendes na decisão de afetação do Tema 1389 (ID e3eae55), estão em discussão: (i) a competência da Justiça do Trabalho para julgar causas em que se discute fraude em contrato civil de prestação de serviços; (</w:t>
      </w:r>
      <w:proofErr w:type="spellStart"/>
      <w:r>
        <w:rPr>
          <w:rFonts w:ascii="Calibri" w:hAnsi="Calibri" w:cs="Calibri"/>
          <w:color w:val="000000"/>
          <w:sz w:val="22"/>
          <w:szCs w:val="22"/>
        </w:rPr>
        <w:t>ii</w:t>
      </w:r>
      <w:proofErr w:type="spellEnd"/>
      <w:r>
        <w:rPr>
          <w:rFonts w:ascii="Calibri" w:hAnsi="Calibri" w:cs="Calibri"/>
          <w:color w:val="000000"/>
          <w:sz w:val="22"/>
          <w:szCs w:val="22"/>
        </w:rPr>
        <w:t xml:space="preserve">) a licitude da contratação </w:t>
      </w:r>
      <w:r>
        <w:rPr>
          <w:rFonts w:ascii="Calibri" w:hAnsi="Calibri" w:cs="Calibri"/>
          <w:color w:val="000000"/>
          <w:sz w:val="22"/>
          <w:szCs w:val="22"/>
        </w:rPr>
        <w:lastRenderedPageBreak/>
        <w:t>de trabalhador autônomo ou pessoa jurídica à luz da ADPF 324; e (</w:t>
      </w:r>
      <w:proofErr w:type="spellStart"/>
      <w:r>
        <w:rPr>
          <w:rFonts w:ascii="Calibri" w:hAnsi="Calibri" w:cs="Calibri"/>
          <w:color w:val="000000"/>
          <w:sz w:val="22"/>
          <w:szCs w:val="22"/>
        </w:rPr>
        <w:t>iii</w:t>
      </w:r>
      <w:proofErr w:type="spellEnd"/>
      <w:r>
        <w:rPr>
          <w:rFonts w:ascii="Calibri" w:hAnsi="Calibri" w:cs="Calibri"/>
          <w:color w:val="000000"/>
          <w:sz w:val="22"/>
          <w:szCs w:val="22"/>
        </w:rPr>
        <w:t xml:space="preserve">) o ônus da prova quanto à alegação de fraude na contratação civil. </w:t>
      </w:r>
    </w:p>
    <w:p w14:paraId="4CDDB0C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O núcleo do precedente reside, portanto, na análise da validade de contratos civis formalmente estruturados, à luz da liberdade de organização produtiva reconhecida na ADPF 324.</w:t>
      </w:r>
    </w:p>
    <w:p w14:paraId="6FD3E7F5"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No caso concreto, contudo, não se discute a validade de contrato civil típico, até porque esse inexiste!</w:t>
      </w:r>
      <w:r>
        <w:rPr>
          <w:rFonts w:ascii="Calibri" w:hAnsi="Calibri" w:cs="Calibri"/>
          <w:color w:val="000000"/>
          <w:sz w:val="22"/>
          <w:szCs w:val="22"/>
        </w:rPr>
        <w:t xml:space="preserve"> O que se postula é o reconhecimento direto do vínculo empregatício, mediante análise da realidade fática da prestação de serviços, à luz do princípio da primazia da realidade.</w:t>
      </w:r>
    </w:p>
    <w:p w14:paraId="2F769326"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Não há, pois, aderência estrita ao paradigma da Suprema Corte, razão pela qual se revela indevida a paralisação do processo. Cuida-se, portanto, de típico caso de </w:t>
      </w:r>
      <w:proofErr w:type="spellStart"/>
      <w:r>
        <w:rPr>
          <w:rStyle w:val="nfase"/>
          <w:rFonts w:ascii="Calibri" w:eastAsiaTheme="majorEastAsia" w:hAnsi="Calibri" w:cs="Calibri"/>
          <w:b/>
          <w:bCs/>
          <w:color w:val="000000"/>
          <w:sz w:val="22"/>
          <w:szCs w:val="22"/>
          <w:bdr w:val="single" w:sz="2" w:space="0" w:color="E2E8F0" w:frame="1"/>
        </w:rPr>
        <w:t>distinguishing</w:t>
      </w:r>
      <w:proofErr w:type="spellEnd"/>
      <w:r>
        <w:rPr>
          <w:rFonts w:ascii="Calibri" w:hAnsi="Calibri" w:cs="Calibri"/>
          <w:color w:val="000000"/>
          <w:sz w:val="22"/>
          <w:szCs w:val="22"/>
        </w:rPr>
        <w:t>, em que a matéria dos presentes autos não se confunde com o objeto do precedente vinculante. </w:t>
      </w:r>
    </w:p>
    <w:p w14:paraId="72F7D711"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 própria 1ª reclamada, em sua contestação (ID b57fcfe), sustentou que o Recorrente teria atuado como representante comercial. Ainda que tal tese seja impugnada, sua simples formulação evidencia que não se trata de discussão sobre terceirização de atividade-meio ou fim nos moldes da ADPF 324.</w:t>
      </w:r>
    </w:p>
    <w:p w14:paraId="2902A535"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 propósito, a matéria relativa à representação comercial foi objeto do Tema 550 da Repercussão Geral do STF, cuja tese firmada e ementa dispõem:</w:t>
      </w:r>
    </w:p>
    <w:p w14:paraId="6588A9C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nfase"/>
          <w:rFonts w:ascii="Calibri" w:eastAsiaTheme="majorEastAsia" w:hAnsi="Calibri" w:cs="Calibri"/>
          <w:b/>
          <w:bCs/>
          <w:color w:val="000000"/>
          <w:sz w:val="22"/>
          <w:szCs w:val="22"/>
          <w:bdr w:val="single" w:sz="2" w:space="0" w:color="E2E8F0" w:frame="1"/>
        </w:rPr>
        <w:t>Tese</w:t>
      </w:r>
      <w:r>
        <w:rPr>
          <w:rStyle w:val="nfase"/>
          <w:rFonts w:ascii="Calibri" w:eastAsiaTheme="majorEastAsia" w:hAnsi="Calibri" w:cs="Calibri"/>
          <w:color w:val="000000"/>
          <w:sz w:val="22"/>
          <w:szCs w:val="22"/>
          <w:bdr w:val="single" w:sz="2" w:space="0" w:color="E2E8F0" w:frame="1"/>
        </w:rPr>
        <w:t>: Preenchidos os requisitos dispostos na Lei 4.886/65, compete à Justiça Comum o julgamento de processos envolvendo relação jurídica entre representante e representada comerciais, uma vez que não há relação de trabalho entre as partes.</w:t>
      </w:r>
      <w:r>
        <w:rPr>
          <w:rFonts w:ascii="Calibri" w:hAnsi="Calibri" w:cs="Calibri"/>
          <w:color w:val="000000"/>
          <w:sz w:val="22"/>
          <w:szCs w:val="22"/>
        </w:rPr>
        <w:t> </w:t>
      </w:r>
    </w:p>
    <w:p w14:paraId="46E755F2"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33D90666"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nfase"/>
          <w:rFonts w:ascii="Calibri" w:eastAsiaTheme="majorEastAsia" w:hAnsi="Calibri" w:cs="Calibri"/>
          <w:b/>
          <w:bCs/>
          <w:color w:val="000000"/>
          <w:sz w:val="22"/>
          <w:szCs w:val="22"/>
          <w:bdr w:val="single" w:sz="2" w:space="0" w:color="E2E8F0" w:frame="1"/>
        </w:rPr>
        <w:t>EMENTA</w:t>
      </w:r>
      <w:r>
        <w:rPr>
          <w:rStyle w:val="nfase"/>
          <w:rFonts w:ascii="Calibri" w:eastAsiaTheme="majorEastAsia" w:hAnsi="Calibri" w:cs="Calibri"/>
          <w:color w:val="000000"/>
          <w:sz w:val="22"/>
          <w:szCs w:val="22"/>
          <w:bdr w:val="single" w:sz="2" w:space="0" w:color="E2E8F0" w:frame="1"/>
        </w:rPr>
        <w:t>: Direito Constitucional e do Trabalho. Repercussão Geral. Contrato de representação </w:t>
      </w:r>
      <w:proofErr w:type="gramStart"/>
      <w:r>
        <w:rPr>
          <w:rStyle w:val="nfase"/>
          <w:rFonts w:ascii="Calibri" w:eastAsiaTheme="majorEastAsia" w:hAnsi="Calibri" w:cs="Calibri"/>
          <w:color w:val="000000"/>
          <w:sz w:val="22"/>
          <w:szCs w:val="22"/>
          <w:bdr w:val="single" w:sz="2" w:space="0" w:color="E2E8F0" w:frame="1"/>
        </w:rPr>
        <w:t>comercial Autônoma</w:t>
      </w:r>
      <w:proofErr w:type="gramEnd"/>
      <w:r>
        <w:rPr>
          <w:rStyle w:val="nfase"/>
          <w:rFonts w:ascii="Calibri" w:eastAsiaTheme="majorEastAsia" w:hAnsi="Calibri" w:cs="Calibri"/>
          <w:color w:val="000000"/>
          <w:sz w:val="22"/>
          <w:szCs w:val="22"/>
          <w:bdr w:val="single" w:sz="2" w:space="0" w:color="E2E8F0" w:frame="1"/>
        </w:rPr>
        <w:t>, regido pela Lei nº 4.886/65. Não configuração de relação de trabalho prevista no art. 114, CF. 1. Recurso Extraordinário interposto contra decisão proferida pelo Tribunal Superior do Trabalho, em que se alega afronta ao art. 114, incisos I e IX, da Constituição Federal, com redação dada pela EC 45/2004. Na origem, cuida-se de ação de cobrança de comissões sobre vendas decorrentes de contrato de representação comercial autônoma, ajuizada pelo representante, pessoa física, em face do representado. 2. As atividades de representação comercial autônoma configuram contrato típico de natureza comercial, disciplinado pela Lei nº 4.886/65, a qual prevê (i) o exercício da representação por pessoa jurídica ou pessoa física, sem relação de emprego, que desempenha, em caráter não eventual por conta de uma ou mais pessoas, a mediação para a realização de negócios mercantis e (</w:t>
      </w:r>
      <w:proofErr w:type="spellStart"/>
      <w:r>
        <w:rPr>
          <w:rStyle w:val="nfase"/>
          <w:rFonts w:ascii="Calibri" w:eastAsiaTheme="majorEastAsia" w:hAnsi="Calibri" w:cs="Calibri"/>
          <w:color w:val="000000"/>
          <w:sz w:val="22"/>
          <w:szCs w:val="22"/>
          <w:bdr w:val="single" w:sz="2" w:space="0" w:color="E2E8F0" w:frame="1"/>
        </w:rPr>
        <w:t>ii</w:t>
      </w:r>
      <w:proofErr w:type="spellEnd"/>
      <w:r>
        <w:rPr>
          <w:rStyle w:val="nfase"/>
          <w:rFonts w:ascii="Calibri" w:eastAsiaTheme="majorEastAsia" w:hAnsi="Calibri" w:cs="Calibri"/>
          <w:color w:val="000000"/>
          <w:sz w:val="22"/>
          <w:szCs w:val="22"/>
          <w:bdr w:val="single" w:sz="2" w:space="0" w:color="E2E8F0" w:frame="1"/>
        </w:rPr>
        <w:t>) a competência da Justiça comum para o julgamento das controvérsias que surgirem entre representante e representado. 3. Na atividade de representação comercial autônoma, inexiste entre as partes vínculo de emprego ou relação de trabalho, mas relação comercial regida por legislação especial (Lei n° 4.886/65). Por conseguinte, a situação não foi afetada pelas alterações introduzidas pela EC n° 45/2004, que versa sobre hipótese distinta ao tratar da relação de trabalho no art. 114 da Constituição. 4. A proteção constitucional ao trabalho não impõe que toda e qualquer relação entre o contratante de um serviço e o seu prestador seja protegida por meio da relação de trabalho (CF/1988, art. 7º). Precedentes. 5. Ademais, os autos tratam de pedido de pagamento de comissões atrasadas. O pedido e a causa de pedir não têm natureza trabalhista, a reforçar a competência do Juízo Comum para o julgamento da demanda. 6. Recurso extraordinário a que se dá provimento, para assentar a competência da Justiça comum, com a fixação da seguinte tese: “Preenchidos os requisitos dispostos na Lei 4.886/65, compete à Justiça Comum o julgamento de processos envolvendo relação jurídica entre representante e representada comerciais, uma vez que não há relação de trabalho entre as partes”.</w:t>
      </w:r>
      <w:r>
        <w:rPr>
          <w:rFonts w:ascii="Calibri" w:hAnsi="Calibri" w:cs="Calibri"/>
          <w:color w:val="000000"/>
          <w:sz w:val="22"/>
          <w:szCs w:val="22"/>
        </w:rPr>
        <w:t> </w:t>
      </w:r>
    </w:p>
    <w:p w14:paraId="27D73698"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O que se decidiu, portanto, foi que, preenchidos os requisitos da Lei nº 4.886/65, a competência é da Justiça Comum. Não se afastou, em hipótese alguma, a possibilidade de reconhecimento de vínculo empregatício quando ausentes tais requisitos.</w:t>
      </w:r>
    </w:p>
    <w:p w14:paraId="06564043"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 xml:space="preserve">De suma relevância destacar que no presente caso foi juntada aos autos principais </w:t>
      </w:r>
      <w:r>
        <w:rPr>
          <w:rStyle w:val="Forte"/>
          <w:rFonts w:ascii="Calibri" w:eastAsiaTheme="majorEastAsia" w:hAnsi="Calibri" w:cs="Calibri"/>
          <w:color w:val="000000"/>
          <w:sz w:val="22"/>
          <w:szCs w:val="22"/>
          <w:bdr w:val="single" w:sz="2" w:space="0" w:color="E2E8F0" w:frame="1"/>
        </w:rPr>
        <w:t>declaração formal emitida e assinada pela própria reclamada, na qual afirma que o Recorrente era seu “colaborador”, exercia a função de gerente comercial e prestava serviços semanalmente, de segunda a sexta-feira (ID 541895e da reclamação trabalhista, documento ora anexo).</w:t>
      </w:r>
      <w:r>
        <w:rPr>
          <w:rFonts w:ascii="Calibri" w:hAnsi="Calibri" w:cs="Calibri"/>
          <w:color w:val="000000"/>
          <w:sz w:val="22"/>
          <w:szCs w:val="22"/>
        </w:rPr>
        <w:t xml:space="preserve"> </w:t>
      </w:r>
    </w:p>
    <w:p w14:paraId="35EBF20E"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Tal documento revela habitualidade, inserção estrutural e prestação pessoal e contínua, elementos caracterizadores da relação de emprego previstos no art. 3º da CLT. A controvérsia, portanto, é eminentemente fática e depende de instrução probatória, não se confundindo com a discussão abstrata de validade de contrato civil enfrentada no Tema 1389.</w:t>
      </w:r>
    </w:p>
    <w:p w14:paraId="37B1C0E7"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No mesmo sentido, recente julgado do TRT da 2ª Região (Processo nº 1001394-19.2024.5.02.0320 – ID 0ac964d) assentou que, ausente contrato formal típico cuja validade esteja em discussão, inexiste razão para suspensão com base no Tema 1389, autorizando-se o regular processamento do pedido de vínculo empregatício.</w:t>
      </w:r>
    </w:p>
    <w:p w14:paraId="39423223"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São os demais julgados já anexados, tanto do TRT da 2ª Região, como da 15ª Região, sob os seguintes </w:t>
      </w:r>
      <w:proofErr w:type="spellStart"/>
      <w:r>
        <w:rPr>
          <w:rFonts w:ascii="Calibri" w:hAnsi="Calibri" w:cs="Calibri"/>
          <w:color w:val="000000"/>
          <w:sz w:val="22"/>
          <w:szCs w:val="22"/>
        </w:rPr>
        <w:t>IDs</w:t>
      </w:r>
      <w:proofErr w:type="spellEnd"/>
      <w:r>
        <w:rPr>
          <w:rFonts w:ascii="Calibri" w:hAnsi="Calibri" w:cs="Calibri"/>
          <w:color w:val="000000"/>
          <w:sz w:val="22"/>
          <w:szCs w:val="22"/>
        </w:rPr>
        <w:t xml:space="preserve"> 1ccb585, ed55db7, 6f8ebb9, 834523b, 1012fa8 e 0ac964d.</w:t>
      </w:r>
    </w:p>
    <w:p w14:paraId="3B8A48D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Igualmente relevante é a ressalva lançada pelo próprio TRT da 15ª Região no Processo nº 0010159-73.2023.5.15.0124 (ID aaa6628), cujo trecho se colaciona:</w:t>
      </w:r>
    </w:p>
    <w:p w14:paraId="43198865"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nfase"/>
          <w:rFonts w:ascii="Calibri" w:eastAsiaTheme="majorEastAsia" w:hAnsi="Calibri" w:cs="Calibri"/>
          <w:color w:val="000000"/>
          <w:sz w:val="22"/>
          <w:szCs w:val="22"/>
          <w:bdr w:val="single" w:sz="2" w:space="0" w:color="E2E8F0" w:frame="1"/>
        </w:rPr>
        <w:t>“A fim de espancar qualquer dúvida, consigna-se que não se trata, ainda, da aplicação do </w:t>
      </w:r>
      <w:proofErr w:type="spellStart"/>
      <w:r>
        <w:rPr>
          <w:rStyle w:val="nfase"/>
          <w:rFonts w:ascii="Calibri" w:eastAsiaTheme="majorEastAsia" w:hAnsi="Calibri" w:cs="Calibri"/>
          <w:color w:val="000000"/>
          <w:sz w:val="22"/>
          <w:szCs w:val="22"/>
          <w:bdr w:val="single" w:sz="2" w:space="0" w:color="E2E8F0" w:frame="1"/>
        </w:rPr>
        <w:t>leading</w:t>
      </w:r>
      <w:proofErr w:type="spellEnd"/>
      <w:r>
        <w:rPr>
          <w:rStyle w:val="nfase"/>
          <w:rFonts w:ascii="Calibri" w:eastAsiaTheme="majorEastAsia" w:hAnsi="Calibri" w:cs="Calibri"/>
          <w:color w:val="000000"/>
          <w:sz w:val="22"/>
          <w:szCs w:val="22"/>
          <w:bdr w:val="single" w:sz="2" w:space="0" w:color="E2E8F0" w:frame="1"/>
        </w:rPr>
        <w:t> case que trata o Tema 1389 </w:t>
      </w:r>
    </w:p>
    <w:p w14:paraId="4592632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nfase"/>
          <w:rFonts w:ascii="Calibri" w:eastAsiaTheme="majorEastAsia" w:hAnsi="Calibri" w:cs="Calibri"/>
          <w:color w:val="000000"/>
          <w:sz w:val="22"/>
          <w:szCs w:val="22"/>
          <w:bdr w:val="single" w:sz="2" w:space="0" w:color="E2E8F0" w:frame="1"/>
        </w:rPr>
        <w:t>Ocorre que </w:t>
      </w:r>
      <w:r>
        <w:rPr>
          <w:rStyle w:val="nfase"/>
          <w:rFonts w:ascii="Calibri" w:eastAsiaTheme="majorEastAsia" w:hAnsi="Calibri" w:cs="Calibri"/>
          <w:b/>
          <w:bCs/>
          <w:color w:val="000000"/>
          <w:sz w:val="22"/>
          <w:szCs w:val="22"/>
          <w:bdr w:val="single" w:sz="2" w:space="0" w:color="E2E8F0" w:frame="1"/>
        </w:rPr>
        <w:t>o Reclamante denuncia a própria caracterização fática da relação jurídica, com fundamento no princípio da primazia da realidade e nas provas dos autos, não havendo discussão sobre a licitude de contrato civil ou seu desvirtuamento</w:t>
      </w:r>
      <w:r>
        <w:rPr>
          <w:rStyle w:val="nfase"/>
          <w:rFonts w:ascii="Calibri" w:eastAsiaTheme="majorEastAsia" w:hAnsi="Calibri" w:cs="Calibri"/>
          <w:color w:val="000000"/>
          <w:sz w:val="22"/>
          <w:szCs w:val="22"/>
          <w:bdr w:val="single" w:sz="2" w:space="0" w:color="E2E8F0" w:frame="1"/>
        </w:rPr>
        <w:t>. Então, não se observa qualquer violação à ordem de suspensão nacional determinada no já mencionado Tema 1389, pois </w:t>
      </w:r>
      <w:r>
        <w:rPr>
          <w:rStyle w:val="nfase"/>
          <w:rFonts w:ascii="Calibri" w:eastAsiaTheme="majorEastAsia" w:hAnsi="Calibri" w:cs="Calibri"/>
          <w:b/>
          <w:bCs/>
          <w:color w:val="000000"/>
          <w:sz w:val="22"/>
          <w:szCs w:val="22"/>
          <w:bdr w:val="single" w:sz="2" w:space="0" w:color="E2E8F0" w:frame="1"/>
        </w:rPr>
        <w:t>a hipótese fática dos autos não se amolda ao objeto da repercussão geral reconhecida pelo Supremo Tribunal Federal</w:t>
      </w:r>
      <w:r>
        <w:rPr>
          <w:rStyle w:val="nfase"/>
          <w:rFonts w:ascii="Calibri" w:eastAsiaTheme="majorEastAsia" w:hAnsi="Calibri" w:cs="Calibri"/>
          <w:color w:val="000000"/>
          <w:sz w:val="22"/>
          <w:szCs w:val="22"/>
          <w:bdr w:val="single" w:sz="2" w:space="0" w:color="E2E8F0" w:frame="1"/>
        </w:rPr>
        <w:t>. </w:t>
      </w:r>
    </w:p>
    <w:p w14:paraId="1BF3C96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nfase"/>
          <w:rFonts w:ascii="Calibri" w:eastAsiaTheme="majorEastAsia" w:hAnsi="Calibri" w:cs="Calibri"/>
          <w:color w:val="000000"/>
          <w:sz w:val="22"/>
          <w:szCs w:val="22"/>
          <w:bdr w:val="single" w:sz="2" w:space="0" w:color="E2E8F0" w:frame="1"/>
        </w:rPr>
        <w:t>Dito isto, </w:t>
      </w:r>
      <w:r>
        <w:rPr>
          <w:rStyle w:val="nfase"/>
          <w:rFonts w:ascii="Calibri" w:eastAsiaTheme="majorEastAsia" w:hAnsi="Calibri" w:cs="Calibri"/>
          <w:b/>
          <w:bCs/>
          <w:color w:val="000000"/>
          <w:sz w:val="22"/>
          <w:szCs w:val="22"/>
          <w:bdr w:val="single" w:sz="2" w:space="0" w:color="E2E8F0" w:frame="1"/>
        </w:rPr>
        <w:t>vale dizer que o julgamento do Tema 550, também de repercussão geral, atribuiu à Justiça Comum a competência para julgar a relação jurídica entre representante e representada comerciais, quando preenchidos os requisitos dispostos na Lei 4.886/65, o que não retira a competência da Justiça do Trabalho para examinar a alegada fraude nesses contratos, com dissimulação da relação de emprego</w:t>
      </w:r>
      <w:r>
        <w:rPr>
          <w:rStyle w:val="nfase"/>
          <w:rFonts w:ascii="Calibri" w:eastAsiaTheme="majorEastAsia" w:hAnsi="Calibri" w:cs="Calibri"/>
          <w:color w:val="000000"/>
          <w:sz w:val="22"/>
          <w:szCs w:val="22"/>
          <w:bdr w:val="single" w:sz="2" w:space="0" w:color="E2E8F0" w:frame="1"/>
        </w:rPr>
        <w:t>. </w:t>
      </w:r>
    </w:p>
    <w:p w14:paraId="7282719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nfase"/>
          <w:rFonts w:ascii="Calibri" w:eastAsiaTheme="majorEastAsia" w:hAnsi="Calibri" w:cs="Calibri"/>
          <w:color w:val="000000"/>
          <w:sz w:val="22"/>
          <w:szCs w:val="22"/>
          <w:bdr w:val="single" w:sz="2" w:space="0" w:color="E2E8F0" w:frame="1"/>
        </w:rPr>
        <w:t>Não se está a negar a existência de diferentes formas de contratação e licitude de formas de trabalho, mas reconhecer a existência da relação de emprego, quando ela, de fato, existe, e está apenas mascarada de forma fraudulenta, sob o corolário princípio norteador da primazia da realidade. Afinal, a competência é dada pela causa de pedir, que, no caso, é de reconhecimento de uma relação de emprego regida pela CLT.” </w:t>
      </w:r>
    </w:p>
    <w:p w14:paraId="114DCE9C"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Na mesma linha, </w:t>
      </w:r>
      <w:r>
        <w:rPr>
          <w:rStyle w:val="Forte"/>
          <w:rFonts w:ascii="Calibri" w:eastAsiaTheme="majorEastAsia" w:hAnsi="Calibri" w:cs="Calibri"/>
          <w:color w:val="000000"/>
          <w:sz w:val="22"/>
          <w:szCs w:val="22"/>
          <w:bdr w:val="single" w:sz="2" w:space="0" w:color="E2E8F0" w:frame="1"/>
        </w:rPr>
        <w:t>este C. TST, no AI-RR-101291-84.2018.5.01.0058 (ID 9f06233), reafirmou que compete à Justiça do Trabalho examinar alegações de fraude contratual quando se postula reconhecimento de vínculo de emprego, sendo incompatível com a sua função constitucional a paralisação indiscriminada de demandas dessa natureza.</w:t>
      </w:r>
    </w:p>
    <w:p w14:paraId="70FBF53C"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Registre-se, ainda, que, quando do exame liminar do presente mandado de segurança, a Exma. Relatora, na decisão de ID 8f66419, reconheceu expressamente a ilegalidade do sobrestamento do feito antes da produção da prova oral.</w:t>
      </w:r>
    </w:p>
    <w:p w14:paraId="0CFBF257"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Ao analisar a plausibilidade jurídica da tese, consignou que o </w:t>
      </w:r>
      <w:r>
        <w:rPr>
          <w:rStyle w:val="nfase"/>
          <w:rFonts w:ascii="Calibri" w:eastAsiaTheme="majorEastAsia" w:hAnsi="Calibri" w:cs="Calibri"/>
          <w:b/>
          <w:bCs/>
          <w:color w:val="000000"/>
          <w:sz w:val="22"/>
          <w:szCs w:val="22"/>
          <w:bdr w:val="single" w:sz="2" w:space="0" w:color="E2E8F0" w:frame="1"/>
        </w:rPr>
        <w:t>“fumus boni iuris”</w:t>
      </w:r>
      <w:r>
        <w:rPr>
          <w:rStyle w:val="nfase"/>
          <w:rFonts w:ascii="Calibri" w:eastAsiaTheme="majorEastAsia" w:hAnsi="Calibri" w:cs="Calibri"/>
          <w:color w:val="000000"/>
          <w:sz w:val="22"/>
          <w:szCs w:val="22"/>
          <w:bdr w:val="single" w:sz="2" w:space="0" w:color="E2E8F0" w:frame="1"/>
        </w:rPr>
        <w:t xml:space="preserve"> </w:t>
      </w:r>
      <w:r>
        <w:rPr>
          <w:rFonts w:ascii="Calibri" w:hAnsi="Calibri" w:cs="Calibri"/>
          <w:color w:val="000000"/>
          <w:sz w:val="22"/>
          <w:szCs w:val="22"/>
        </w:rPr>
        <w:t xml:space="preserve">decorre da própria previsão legal da produção antecipada de provas nos </w:t>
      </w:r>
      <w:proofErr w:type="spellStart"/>
      <w:r>
        <w:rPr>
          <w:rFonts w:ascii="Calibri" w:hAnsi="Calibri" w:cs="Calibri"/>
          <w:color w:val="000000"/>
          <w:sz w:val="22"/>
          <w:szCs w:val="22"/>
        </w:rPr>
        <w:t>arts</w:t>
      </w:r>
      <w:proofErr w:type="spellEnd"/>
      <w:r>
        <w:rPr>
          <w:rFonts w:ascii="Calibri" w:hAnsi="Calibri" w:cs="Calibri"/>
          <w:color w:val="000000"/>
          <w:sz w:val="22"/>
          <w:szCs w:val="22"/>
        </w:rPr>
        <w:t>. 381 e seguintes do CPC, assentando que, se é admissível a produção probatória antes mesmo do ajuizamento da ação, não haveria óbice à sua realização após o ajuizamento do processo. Tal fundamento revela compreensão clara de que a paralisação integral do feito, impedindo a colheita da prova oral, não encontra respaldo no sistema processual.</w:t>
      </w:r>
    </w:p>
    <w:p w14:paraId="388CAAAE"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No tocante ao risco processual, destacou-se a possibilidade de demora no julgamento do Tema 1389 e a consequente deterioração das lembranças das testemunhas, circunstância apta a comprometer o </w:t>
      </w:r>
      <w:r>
        <w:rPr>
          <w:rStyle w:val="Forte"/>
          <w:rFonts w:ascii="Calibri" w:eastAsiaTheme="majorEastAsia" w:hAnsi="Calibri" w:cs="Calibri"/>
          <w:color w:val="000000"/>
          <w:sz w:val="22"/>
          <w:szCs w:val="22"/>
          <w:bdr w:val="single" w:sz="2" w:space="0" w:color="E2E8F0" w:frame="1"/>
        </w:rPr>
        <w:t>resultado útil do processo</w:t>
      </w:r>
      <w:r>
        <w:rPr>
          <w:rFonts w:ascii="Calibri" w:hAnsi="Calibri" w:cs="Calibri"/>
          <w:color w:val="000000"/>
          <w:sz w:val="22"/>
          <w:szCs w:val="22"/>
        </w:rPr>
        <w:t xml:space="preserve">. Assentou-se, ainda, que, embora o Tema 1389 também envolva discussão acerca do ônus da prova, a antecipação da produção oral não </w:t>
      </w:r>
      <w:r>
        <w:rPr>
          <w:rFonts w:ascii="Calibri" w:hAnsi="Calibri" w:cs="Calibri"/>
          <w:color w:val="000000"/>
          <w:sz w:val="22"/>
          <w:szCs w:val="22"/>
        </w:rPr>
        <w:lastRenderedPageBreak/>
        <w:t>implicaria prejuízo ou esvaziamento do que venha a ser decidido pelo Supremo Tribunal Federal, preservando-se a liberdade de apreciação do magistrado que presidir a instrução.</w:t>
      </w:r>
    </w:p>
    <w:p w14:paraId="077C9C19"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Com base nessas premissas, a decisão foi categórica ao afirmar ser ilegal o sobrestamento anteriormente à produção da prova oral, deferindo parcialmente a liminar para determinar a interrupção temporária da suspensão exclusivamente para fins de instrução.</w:t>
      </w:r>
    </w:p>
    <w:p w14:paraId="527D181D"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Embora posteriormente reformada pelo Colegiado, tal fundamentação evidencia que a incidência do Tema 1389 não é automática e que a paralisação integral do feito, antes mesmo da formação do conjunto probatório, mostra-se juridicamente questionável, sobretudo em demanda que depende essencialmente da prova testemunhal para apuração da realidade dos fatos.</w:t>
      </w:r>
    </w:p>
    <w:p w14:paraId="2412F0B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Em continuidade, a aplicação generalizada da ordem de suspensão, sem aferição de identidade fática e jurídica, afronta ainda o art. 926, §2º, do CPC, que impõe aos Tribunais o dever de manter jurisprudência íntegra e coerente. A suspensão de processos que não guardam aderência estrita ao paradigma compromete a integridade do sistema de precedentes e subtrai da Justiça do Trabalho sua competência constitucional para apreciar pedidos de reconhecimento de vínculo empregatício fundados na primazia da realidade.</w:t>
      </w:r>
    </w:p>
    <w:p w14:paraId="05AA8B8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Ainda que se admitisse, por argumentar, a manutenção do sobrestamento quanto ao julgamento do mérito até ulterior definição do Supremo Tribunal Federal no Tema 1389, não há fundamento jurídico que justifique a paralisação integral da marcha processual, sobretudo no tocante à instrução probatória.</w:t>
      </w:r>
    </w:p>
    <w:p w14:paraId="7AB89AF4"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 suspensão indiscriminada do feito compromete diretamente o acesso à jurisdição (art. 5º, XXXV, da Constituição Federal) e a garantia da razoável duração do processo (art. 5º, LXXVIII, da Constituição Federal), na medida em que submete o trabalhador a um sobrestamento sem qualquer horizonte temporal definido. É notório que temas afetos à repercussão geral podem permanecer pendentes de julgamento por longos períodos. Impor à parte hipossuficiente a paralisação total da demanda equivale, na prática, a postergar indefinidamente a prestação jurisdicional.</w:t>
      </w:r>
    </w:p>
    <w:p w14:paraId="171D70B7"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O prejuízo revela-se ainda mais grave quando se observa que a suspensão alcança a fase instrutória. </w:t>
      </w:r>
    </w:p>
    <w:p w14:paraId="5F79C983"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 presente reclamação trabalhista versa sobre reconhecimento de vínculo de emprego, controvérsia que depende, por sua própria natureza, da produção de prova oral destinada à demonstração de subordinação, habitualidade, pessoalidade e inserção estrutural. </w:t>
      </w:r>
      <w:r>
        <w:rPr>
          <w:rStyle w:val="Forte"/>
          <w:rFonts w:ascii="Calibri" w:eastAsiaTheme="majorEastAsia" w:hAnsi="Calibri" w:cs="Calibri"/>
          <w:color w:val="000000"/>
          <w:sz w:val="22"/>
          <w:szCs w:val="22"/>
          <w:bdr w:val="single" w:sz="2" w:space="0" w:color="E2E8F0" w:frame="1"/>
        </w:rPr>
        <w:t>O Recorrente foi desligado em 23/10/2023, ou seja, há mais de 2 anos!</w:t>
      </w:r>
    </w:p>
    <w:p w14:paraId="5E3486CC"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 postergação indefinida da audiência de instrução compromete a fidelidade da memória das testemunhas e dificulta a reconstrução fática, enfraquecendo o princípio da primazia da realidade que norteia o processo do trabalho.</w:t>
      </w:r>
    </w:p>
    <w:p w14:paraId="202422A4"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 deterioração natural da prova testemunhal com o passar do tempo é fenômeno reconhecido pela prática forense. Após anos de distanciamento dos fatos, torna-se inevitável a perda de precisão nas lembranças, circunstância que impacta diretamente a </w:t>
      </w:r>
      <w:r>
        <w:rPr>
          <w:rStyle w:val="Forte"/>
          <w:rFonts w:ascii="Calibri" w:eastAsiaTheme="majorEastAsia" w:hAnsi="Calibri" w:cs="Calibri"/>
          <w:color w:val="000000"/>
          <w:sz w:val="22"/>
          <w:szCs w:val="22"/>
          <w:bdr w:val="single" w:sz="2" w:space="0" w:color="E2E8F0" w:frame="1"/>
        </w:rPr>
        <w:t>busca da verdade real.</w:t>
      </w:r>
      <w:r>
        <w:rPr>
          <w:rFonts w:ascii="Calibri" w:hAnsi="Calibri" w:cs="Calibri"/>
          <w:color w:val="000000"/>
          <w:sz w:val="22"/>
          <w:szCs w:val="22"/>
        </w:rPr>
        <w:t xml:space="preserve"> Tal cenário afronta o art. 4º do CPC, que consagra a primazia do julgamento do mérito, bem como os </w:t>
      </w:r>
      <w:proofErr w:type="spellStart"/>
      <w:r>
        <w:rPr>
          <w:rFonts w:ascii="Calibri" w:hAnsi="Calibri" w:cs="Calibri"/>
          <w:color w:val="000000"/>
          <w:sz w:val="22"/>
          <w:szCs w:val="22"/>
        </w:rPr>
        <w:t>arts</w:t>
      </w:r>
      <w:proofErr w:type="spellEnd"/>
      <w:r>
        <w:rPr>
          <w:rFonts w:ascii="Calibri" w:hAnsi="Calibri" w:cs="Calibri"/>
          <w:color w:val="000000"/>
          <w:sz w:val="22"/>
          <w:szCs w:val="22"/>
        </w:rPr>
        <w:t>. 9º e 765 da CLT, que asseguram a prevalência da realidade fática e a ampla liberdade na condução do processo.</w:t>
      </w:r>
    </w:p>
    <w:p w14:paraId="2551C1F3"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Cumpre destacar que a própria decisão de afetação do Tema 1389, ao determinar a suspensão nacional, fundamentou-se na necessidade de evitar a multiplicação de decisões de mérito potencialmente divergentes, preservando a segurança jurídica. Não se determinou, contudo, a paralisação de todos os atos processuais indistintamente, tampouco se proibiu a prática de atos instrutórios que não impliquem julgamento da controvérsia.</w:t>
      </w:r>
    </w:p>
    <w:p w14:paraId="4C8A4EFC"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Nesse sentido, o Tribunal Regional do Trabalho da 2ª Região, ao apreciar situação análoga, assentou expressamente:</w:t>
      </w:r>
    </w:p>
    <w:p w14:paraId="7104ECDD"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nfase"/>
          <w:rFonts w:ascii="Calibri" w:eastAsiaTheme="majorEastAsia" w:hAnsi="Calibri" w:cs="Calibri"/>
          <w:color w:val="000000"/>
          <w:sz w:val="22"/>
          <w:szCs w:val="22"/>
          <w:bdr w:val="single" w:sz="2" w:space="0" w:color="E2E8F0" w:frame="1"/>
        </w:rPr>
        <w:t xml:space="preserve">“MANDADO DE SEGURANÇA. AÇÃO CIVIL PÚBLICA. SUSPENSÃO DO PROCESSO COM FUNDAMENTO NO TEMA 1389 DO STF. PRODUÇÃO DE PROVA ORAL. POSSIBILIDADE. LIMINAR </w:t>
      </w:r>
      <w:r>
        <w:rPr>
          <w:rStyle w:val="nfase"/>
          <w:rFonts w:ascii="Calibri" w:eastAsiaTheme="majorEastAsia" w:hAnsi="Calibri" w:cs="Calibri"/>
          <w:color w:val="000000"/>
          <w:sz w:val="22"/>
          <w:szCs w:val="22"/>
          <w:bdr w:val="single" w:sz="2" w:space="0" w:color="E2E8F0" w:frame="1"/>
        </w:rPr>
        <w:lastRenderedPageBreak/>
        <w:t xml:space="preserve">PARCIAL RATIFICADA. </w:t>
      </w:r>
      <w:r>
        <w:rPr>
          <w:rStyle w:val="nfase"/>
          <w:rFonts w:ascii="Calibri" w:eastAsiaTheme="majorEastAsia" w:hAnsi="Calibri" w:cs="Calibri"/>
          <w:b/>
          <w:bCs/>
          <w:color w:val="000000"/>
          <w:sz w:val="22"/>
          <w:szCs w:val="22"/>
          <w:bdr w:val="single" w:sz="2" w:space="0" w:color="E2E8F0" w:frame="1"/>
        </w:rPr>
        <w:t>É cabível a realização de atos instrutórios voltados exclusivamente à produção de prova oral em ação civil pública sobrestada por força do Tema 1389 da repercussão geral do STF, desde que não haja prolação de decisão de mérito</w:t>
      </w:r>
      <w:r>
        <w:rPr>
          <w:rStyle w:val="nfase"/>
          <w:rFonts w:ascii="Calibri" w:eastAsiaTheme="majorEastAsia" w:hAnsi="Calibri" w:cs="Calibri"/>
          <w:color w:val="000000"/>
          <w:sz w:val="22"/>
          <w:szCs w:val="22"/>
          <w:bdr w:val="single" w:sz="2" w:space="0" w:color="E2E8F0" w:frame="1"/>
        </w:rPr>
        <w:t xml:space="preserve">. Medida cautelar que visa a resguardar a efetividade da tutela jurisdicional, sem afronta à determinação da Suprema Corte. Segurança concedida para ratificar a liminar parcialmente deferida.” (TRT-2 - </w:t>
      </w:r>
      <w:proofErr w:type="spellStart"/>
      <w:r>
        <w:rPr>
          <w:rStyle w:val="nfase"/>
          <w:rFonts w:ascii="Calibri" w:eastAsiaTheme="majorEastAsia" w:hAnsi="Calibri" w:cs="Calibri"/>
          <w:color w:val="000000"/>
          <w:sz w:val="22"/>
          <w:szCs w:val="22"/>
          <w:bdr w:val="single" w:sz="2" w:space="0" w:color="E2E8F0" w:frame="1"/>
        </w:rPr>
        <w:t>MSCiv</w:t>
      </w:r>
      <w:proofErr w:type="spellEnd"/>
      <w:r>
        <w:rPr>
          <w:rStyle w:val="nfase"/>
          <w:rFonts w:ascii="Calibri" w:eastAsiaTheme="majorEastAsia" w:hAnsi="Calibri" w:cs="Calibri"/>
          <w:color w:val="000000"/>
          <w:sz w:val="22"/>
          <w:szCs w:val="22"/>
          <w:bdr w:val="single" w:sz="2" w:space="0" w:color="E2E8F0" w:frame="1"/>
        </w:rPr>
        <w:t xml:space="preserve"> 10108539820255020000, Rel. Wilson Fernandes, SDI-5)</w:t>
      </w:r>
    </w:p>
    <w:p w14:paraId="64FFD9E3"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 coleta de prova não se confunde com o julgamento da lide. Trata-se de providência destinada a preservar a utilidade e a integridade do processo, sem qualquer risco de afronta futura ao entendimento que venha a ser fixado pelo Supremo Tribunal Federal. Ao contrário, permite que, uma vez definido o precedente vinculante, o juízo de origem disponha de acervo probatório completo para adequada subsunção jurídica dos fatos.</w:t>
      </w:r>
    </w:p>
    <w:p w14:paraId="4656C031"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 manutenção da paralisação absoluta implica, na prática, esvaziar a eficácia do processo e transformar o sobrestamento em verdadeira negativa de prestação jurisdicional. Em demandas que envolvem reconhecimento de vínculo e verbas de natureza alimentar, a postergação indefinida da instrução compromete a própria efetividade da tutela jurisdicional.</w:t>
      </w:r>
    </w:p>
    <w:p w14:paraId="0917F2C4"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Dessa forma, mesmo na hipótese de manutenção do sobrestamento quanto ao julgamento final, impõe-se o regular prosseguimento da instrução probatória, com designação de audiência para colheita de prova oral, a fim de resguardar a integridade do processo, a primazia da realidade e os direitos fundamentais do Recorrente.</w:t>
      </w:r>
    </w:p>
    <w:p w14:paraId="76C9104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Diante de todo o exposto, evidencia-se que a hipótese dos autos não se </w:t>
      </w:r>
      <w:proofErr w:type="spellStart"/>
      <w:r>
        <w:rPr>
          <w:rFonts w:ascii="Calibri" w:hAnsi="Calibri" w:cs="Calibri"/>
          <w:color w:val="000000"/>
          <w:sz w:val="22"/>
          <w:szCs w:val="22"/>
        </w:rPr>
        <w:t>subsume</w:t>
      </w:r>
      <w:proofErr w:type="spellEnd"/>
      <w:r>
        <w:rPr>
          <w:rFonts w:ascii="Calibri" w:hAnsi="Calibri" w:cs="Calibri"/>
          <w:color w:val="000000"/>
          <w:sz w:val="22"/>
          <w:szCs w:val="22"/>
        </w:rPr>
        <w:t xml:space="preserve"> ao Tema 1389 da Repercussão Geral do STF, impondo-se o afastamento da suspensão e o regular prosseguimento da reclamação trabalhista de origem. </w:t>
      </w:r>
    </w:p>
    <w:p w14:paraId="1A838F01"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Subsidiariamente, requer seja assegurada a realização da audiência de instrução já designada, ou, caso venha a ser cancelada pela autoridade coatora, que seja determinada a imediata redesignação de nova data para sua realização.</w:t>
      </w:r>
    </w:p>
    <w:p w14:paraId="4411C6D8"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CONCLUSÃO</w:t>
      </w:r>
    </w:p>
    <w:p w14:paraId="7906301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Pelo exposto, o recorrente requer o conhecimento e provimento do presente recurso, para que seja reformado o v. Acórdão, e deferida a tutela mandamental pretendida, nos termos da fundamentação. </w:t>
      </w:r>
    </w:p>
    <w:p w14:paraId="7D71056D"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Por fim, requer que todas as futuras intimações, comunicações e/ou publicações, pelo correio ou pelo órgão de imprensa oficial, sejam feitas em nome do </w:t>
      </w:r>
      <w:r>
        <w:rPr>
          <w:rStyle w:val="Forte"/>
          <w:rFonts w:ascii="Calibri" w:eastAsiaTheme="majorEastAsia" w:hAnsi="Calibri" w:cs="Calibri"/>
          <w:color w:val="000000"/>
          <w:sz w:val="22"/>
          <w:szCs w:val="22"/>
          <w:bdr w:val="single" w:sz="2" w:space="0" w:color="E2E8F0" w:frame="1"/>
        </w:rPr>
        <w:t>Dr. Gustavo Bismarchi Motta- OAB/SP Nº 275.477, ou dirigidas ao seu endereço profissional, na Rua Coronel Quirino, 1.266, Cambuí, Campinas/SP, CEP: 13025-002</w:t>
      </w:r>
      <w:r>
        <w:rPr>
          <w:rFonts w:ascii="Calibri" w:hAnsi="Calibri" w:cs="Calibri"/>
          <w:color w:val="000000"/>
          <w:sz w:val="22"/>
          <w:szCs w:val="22"/>
        </w:rPr>
        <w:t>, sob pena de nulidade.</w:t>
      </w:r>
    </w:p>
    <w:p w14:paraId="73EA23A6"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Campinas/SP, 02 de março de 2026.</w:t>
      </w:r>
    </w:p>
    <w:p w14:paraId="78669DA6"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GUSTAVO BISMARCHI MOTTA</w:t>
      </w:r>
    </w:p>
    <w:p w14:paraId="13BADD5F"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OAB/SP Nº 275.477</w:t>
      </w:r>
    </w:p>
    <w:p w14:paraId="02CB46EE"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RICARDO VISCARDI PIRES</w:t>
      </w:r>
    </w:p>
    <w:p w14:paraId="4B6CBB87" w14:textId="77777777" w:rsidR="007043BF" w:rsidRDefault="007043BF" w:rsidP="007043BF">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Calibri" w:hAnsi="Calibri" w:cs="Calibri"/>
          <w:color w:val="000000"/>
          <w:sz w:val="22"/>
          <w:szCs w:val="22"/>
        </w:rPr>
      </w:pPr>
      <w:r>
        <w:rPr>
          <w:rStyle w:val="Forte"/>
          <w:rFonts w:ascii="Calibri" w:eastAsiaTheme="majorEastAsia" w:hAnsi="Calibri" w:cs="Calibri"/>
          <w:color w:val="000000"/>
          <w:sz w:val="22"/>
          <w:szCs w:val="22"/>
          <w:bdr w:val="single" w:sz="2" w:space="0" w:color="E2E8F0" w:frame="1"/>
        </w:rPr>
        <w:t>OAB/SP Nº 353.389</w:t>
      </w:r>
    </w:p>
    <w:p w14:paraId="3F50B73A" w14:textId="77777777" w:rsidR="00EE07D3" w:rsidRDefault="00EE07D3"/>
    <w:sectPr w:rsidR="00EE07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867BD"/>
    <w:multiLevelType w:val="multilevel"/>
    <w:tmpl w:val="3700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45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3BF"/>
    <w:rsid w:val="007043BF"/>
    <w:rsid w:val="00711165"/>
    <w:rsid w:val="00744D7F"/>
    <w:rsid w:val="00EE07D3"/>
    <w:rsid w:val="00EF78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459C"/>
  <w15:chartTrackingRefBased/>
  <w15:docId w15:val="{34C58A4B-EFB1-424F-90F4-9F70FCB9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04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04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043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043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043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043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043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043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043B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043B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043B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043B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043B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043B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043B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043B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043B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043BF"/>
    <w:rPr>
      <w:rFonts w:eastAsiaTheme="majorEastAsia" w:cstheme="majorBidi"/>
      <w:color w:val="272727" w:themeColor="text1" w:themeTint="D8"/>
    </w:rPr>
  </w:style>
  <w:style w:type="paragraph" w:styleId="Ttulo">
    <w:name w:val="Title"/>
    <w:basedOn w:val="Normal"/>
    <w:next w:val="Normal"/>
    <w:link w:val="TtuloChar"/>
    <w:uiPriority w:val="10"/>
    <w:qFormat/>
    <w:rsid w:val="00704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043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043B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043B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043BF"/>
    <w:pPr>
      <w:spacing w:before="160"/>
      <w:jc w:val="center"/>
    </w:pPr>
    <w:rPr>
      <w:i/>
      <w:iCs/>
      <w:color w:val="404040" w:themeColor="text1" w:themeTint="BF"/>
    </w:rPr>
  </w:style>
  <w:style w:type="character" w:customStyle="1" w:styleId="CitaoChar">
    <w:name w:val="Citação Char"/>
    <w:basedOn w:val="Fontepargpadro"/>
    <w:link w:val="Citao"/>
    <w:uiPriority w:val="29"/>
    <w:rsid w:val="007043BF"/>
    <w:rPr>
      <w:i/>
      <w:iCs/>
      <w:color w:val="404040" w:themeColor="text1" w:themeTint="BF"/>
    </w:rPr>
  </w:style>
  <w:style w:type="paragraph" w:styleId="PargrafodaLista">
    <w:name w:val="List Paragraph"/>
    <w:basedOn w:val="Normal"/>
    <w:uiPriority w:val="34"/>
    <w:qFormat/>
    <w:rsid w:val="007043BF"/>
    <w:pPr>
      <w:ind w:left="720"/>
      <w:contextualSpacing/>
    </w:pPr>
  </w:style>
  <w:style w:type="character" w:styleId="nfaseIntensa">
    <w:name w:val="Intense Emphasis"/>
    <w:basedOn w:val="Fontepargpadro"/>
    <w:uiPriority w:val="21"/>
    <w:qFormat/>
    <w:rsid w:val="007043BF"/>
    <w:rPr>
      <w:i/>
      <w:iCs/>
      <w:color w:val="0F4761" w:themeColor="accent1" w:themeShade="BF"/>
    </w:rPr>
  </w:style>
  <w:style w:type="paragraph" w:styleId="CitaoIntensa">
    <w:name w:val="Intense Quote"/>
    <w:basedOn w:val="Normal"/>
    <w:next w:val="Normal"/>
    <w:link w:val="CitaoIntensaChar"/>
    <w:uiPriority w:val="30"/>
    <w:qFormat/>
    <w:rsid w:val="00704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043BF"/>
    <w:rPr>
      <w:i/>
      <w:iCs/>
      <w:color w:val="0F4761" w:themeColor="accent1" w:themeShade="BF"/>
    </w:rPr>
  </w:style>
  <w:style w:type="character" w:styleId="RefernciaIntensa">
    <w:name w:val="Intense Reference"/>
    <w:basedOn w:val="Fontepargpadro"/>
    <w:uiPriority w:val="32"/>
    <w:qFormat/>
    <w:rsid w:val="007043BF"/>
    <w:rPr>
      <w:b/>
      <w:bCs/>
      <w:smallCaps/>
      <w:color w:val="0F4761" w:themeColor="accent1" w:themeShade="BF"/>
      <w:spacing w:val="5"/>
    </w:rPr>
  </w:style>
  <w:style w:type="paragraph" w:styleId="NormalWeb">
    <w:name w:val="Normal (Web)"/>
    <w:basedOn w:val="Normal"/>
    <w:uiPriority w:val="99"/>
    <w:semiHidden/>
    <w:unhideWhenUsed/>
    <w:rsid w:val="007043B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7043BF"/>
    <w:rPr>
      <w:b/>
      <w:bCs/>
    </w:rPr>
  </w:style>
  <w:style w:type="character" w:styleId="nfase">
    <w:name w:val="Emphasis"/>
    <w:basedOn w:val="Fontepargpadro"/>
    <w:uiPriority w:val="20"/>
    <w:qFormat/>
    <w:rsid w:val="007043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3415</Words>
  <Characters>18446</Characters>
  <Application>Microsoft Office Word</Application>
  <DocSecurity>0</DocSecurity>
  <Lines>153</Lines>
  <Paragraphs>43</Paragraphs>
  <ScaleCrop>false</ScaleCrop>
  <Company/>
  <LinksUpToDate>false</LinksUpToDate>
  <CharactersWithSpaces>21818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Marques Silva</dc:creator>
  <cp:keywords/>
  <dc:description/>
  <cp:lastModifiedBy>Leonardo Marques Silva</cp:lastModifiedBy>
  <cp:revision>1</cp:revision>
  <dcterms:created xsi:type="dcterms:W3CDTF">2026-03-27T19:22:00Z</dcterms:created>
  <dcterms:modified xsi:type="dcterms:W3CDTF">2026-03-27T19:29:00Z</dcterms:modified>
</cp:coreProperties>
</file>