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491" w:right="486" w:firstLine="0"/>
        <w:jc w:val="center"/>
        <w:rPr>
          <w:sz w:val="22"/>
        </w:rPr>
      </w:pPr>
      <w:r>
        <w:rPr>
          <w:sz w:val="22"/>
        </w:rPr>
        <w:t>Comité</w:t>
      </w:r>
      <w:r>
        <w:rPr>
          <w:spacing w:val="-5"/>
          <w:sz w:val="22"/>
        </w:rPr>
        <w:t> </w:t>
      </w:r>
      <w:r>
        <w:rPr>
          <w:sz w:val="22"/>
        </w:rPr>
        <w:t>consultatif</w:t>
      </w:r>
      <w:r>
        <w:rPr>
          <w:spacing w:val="-5"/>
          <w:sz w:val="22"/>
        </w:rPr>
        <w:t> </w:t>
      </w:r>
      <w:r>
        <w:rPr>
          <w:sz w:val="22"/>
        </w:rPr>
        <w:t>national</w:t>
      </w:r>
      <w:r>
        <w:rPr>
          <w:spacing w:val="-3"/>
          <w:sz w:val="22"/>
        </w:rPr>
        <w:t> </w:t>
      </w:r>
      <w:r>
        <w:rPr>
          <w:sz w:val="22"/>
        </w:rPr>
        <w:t>d'éthique</w:t>
      </w:r>
      <w:r>
        <w:rPr>
          <w:spacing w:val="-5"/>
          <w:sz w:val="22"/>
        </w:rPr>
        <w:t> </w:t>
      </w:r>
      <w:r>
        <w:rPr>
          <w:sz w:val="22"/>
        </w:rPr>
        <w:t>pour</w:t>
      </w:r>
      <w:r>
        <w:rPr>
          <w:spacing w:val="-3"/>
          <w:sz w:val="22"/>
        </w:rPr>
        <w:t> </w:t>
      </w:r>
      <w:r>
        <w:rPr>
          <w:sz w:val="22"/>
        </w:rPr>
        <w:t>les</w:t>
      </w:r>
      <w:r>
        <w:rPr>
          <w:spacing w:val="-5"/>
          <w:sz w:val="22"/>
        </w:rPr>
        <w:t> </w:t>
      </w:r>
      <w:r>
        <w:rPr>
          <w:sz w:val="22"/>
        </w:rPr>
        <w:t>sciences</w:t>
      </w:r>
      <w:r>
        <w:rPr>
          <w:spacing w:val="-5"/>
          <w:sz w:val="22"/>
        </w:rPr>
        <w:t> </w:t>
      </w:r>
      <w:r>
        <w:rPr>
          <w:sz w:val="22"/>
        </w:rPr>
        <w:t>de</w:t>
      </w:r>
      <w:r>
        <w:rPr>
          <w:spacing w:val="-5"/>
          <w:sz w:val="22"/>
        </w:rPr>
        <w:t> </w:t>
      </w:r>
      <w:r>
        <w:rPr>
          <w:sz w:val="22"/>
        </w:rPr>
        <w:t>la</w:t>
      </w:r>
      <w:r>
        <w:rPr>
          <w:spacing w:val="-4"/>
          <w:sz w:val="22"/>
        </w:rPr>
        <w:t> </w:t>
      </w:r>
      <w:r>
        <w:rPr>
          <w:sz w:val="22"/>
        </w:rPr>
        <w:t>vie</w:t>
      </w:r>
      <w:r>
        <w:rPr>
          <w:spacing w:val="-5"/>
          <w:sz w:val="22"/>
        </w:rPr>
        <w:t> </w:t>
      </w:r>
      <w:r>
        <w:rPr>
          <w:sz w:val="22"/>
        </w:rPr>
        <w:t>et</w:t>
      </w:r>
      <w:r>
        <w:rPr>
          <w:spacing w:val="-3"/>
          <w:sz w:val="22"/>
        </w:rPr>
        <w:t> </w:t>
      </w:r>
      <w:r>
        <w:rPr>
          <w:sz w:val="22"/>
        </w:rPr>
        <w:t>de</w:t>
      </w:r>
      <w:r>
        <w:rPr>
          <w:spacing w:val="-3"/>
          <w:sz w:val="22"/>
        </w:rPr>
        <w:t> </w:t>
      </w:r>
      <w:r>
        <w:rPr>
          <w:sz w:val="22"/>
        </w:rPr>
        <w:t>la</w:t>
      </w:r>
      <w:r>
        <w:rPr>
          <w:spacing w:val="-5"/>
          <w:sz w:val="22"/>
        </w:rPr>
        <w:t> </w:t>
      </w:r>
      <w:r>
        <w:rPr>
          <w:spacing w:val="-2"/>
          <w:sz w:val="22"/>
        </w:rPr>
        <w:t>santé</w:t>
      </w:r>
    </w:p>
    <w:p>
      <w:pPr>
        <w:pStyle w:val="BodyText"/>
        <w:spacing w:before="8"/>
        <w:ind w:left="0"/>
        <w:rPr>
          <w:sz w:val="27"/>
        </w:rPr>
      </w:pPr>
    </w:p>
    <w:p>
      <w:pPr>
        <w:spacing w:before="0"/>
        <w:ind w:left="126" w:right="120" w:firstLine="0"/>
        <w:jc w:val="center"/>
        <w:rPr>
          <w:sz w:val="28"/>
        </w:rPr>
      </w:pPr>
      <w:r>
        <w:rPr>
          <w:sz w:val="28"/>
        </w:rPr>
        <w:t>L'assistance</w:t>
      </w:r>
      <w:r>
        <w:rPr>
          <w:spacing w:val="-6"/>
          <w:sz w:val="28"/>
        </w:rPr>
        <w:t> </w:t>
      </w:r>
      <w:r>
        <w:rPr>
          <w:sz w:val="28"/>
        </w:rPr>
        <w:t>médicale</w:t>
      </w:r>
      <w:r>
        <w:rPr>
          <w:spacing w:val="-4"/>
          <w:sz w:val="28"/>
        </w:rPr>
        <w:t> </w:t>
      </w:r>
      <w:r>
        <w:rPr>
          <w:sz w:val="28"/>
        </w:rPr>
        <w:t>à</w:t>
      </w:r>
      <w:r>
        <w:rPr>
          <w:spacing w:val="-6"/>
          <w:sz w:val="28"/>
        </w:rPr>
        <w:t> </w:t>
      </w:r>
      <w:r>
        <w:rPr>
          <w:sz w:val="28"/>
        </w:rPr>
        <w:t>la</w:t>
      </w:r>
      <w:r>
        <w:rPr>
          <w:spacing w:val="-4"/>
          <w:sz w:val="28"/>
        </w:rPr>
        <w:t> </w:t>
      </w:r>
      <w:r>
        <w:rPr>
          <w:sz w:val="28"/>
        </w:rPr>
        <w:t>procréation</w:t>
      </w:r>
      <w:r>
        <w:rPr>
          <w:spacing w:val="-3"/>
          <w:sz w:val="28"/>
        </w:rPr>
        <w:t> </w:t>
      </w:r>
      <w:r>
        <w:rPr>
          <w:sz w:val="28"/>
        </w:rPr>
        <w:t>chez</w:t>
      </w:r>
      <w:r>
        <w:rPr>
          <w:spacing w:val="-4"/>
          <w:sz w:val="28"/>
        </w:rPr>
        <w:t> </w:t>
      </w:r>
      <w:r>
        <w:rPr>
          <w:sz w:val="28"/>
        </w:rPr>
        <w:t>les</w:t>
      </w:r>
      <w:r>
        <w:rPr>
          <w:spacing w:val="-4"/>
          <w:sz w:val="28"/>
        </w:rPr>
        <w:t> </w:t>
      </w:r>
      <w:r>
        <w:rPr>
          <w:sz w:val="28"/>
        </w:rPr>
        <w:t>couples</w:t>
      </w:r>
      <w:r>
        <w:rPr>
          <w:spacing w:val="-6"/>
          <w:sz w:val="28"/>
        </w:rPr>
        <w:t> </w:t>
      </w:r>
      <w:r>
        <w:rPr>
          <w:sz w:val="28"/>
        </w:rPr>
        <w:t>présentant un risque de transmission virale - Réflexions sur les</w:t>
      </w:r>
    </w:p>
    <w:p>
      <w:pPr>
        <w:spacing w:before="1"/>
        <w:ind w:left="491" w:right="484" w:firstLine="0"/>
        <w:jc w:val="center"/>
        <w:rPr>
          <w:sz w:val="28"/>
        </w:rPr>
      </w:pPr>
      <w:r>
        <w:rPr>
          <w:sz w:val="28"/>
        </w:rPr>
        <w:t>responsabilités</w:t>
      </w:r>
      <w:r>
        <w:rPr>
          <w:spacing w:val="-18"/>
          <w:sz w:val="28"/>
        </w:rPr>
        <w:t> </w:t>
      </w:r>
      <w:r>
        <w:rPr>
          <w:spacing w:val="-10"/>
          <w:sz w:val="28"/>
        </w:rPr>
        <w:t>-</w:t>
      </w:r>
    </w:p>
    <w:p>
      <w:pPr>
        <w:pStyle w:val="BodyText"/>
        <w:spacing w:before="6"/>
        <w:ind w:left="0"/>
        <w:rPr>
          <w:sz w:val="40"/>
        </w:rPr>
      </w:pPr>
    </w:p>
    <w:p>
      <w:pPr>
        <w:spacing w:before="0"/>
        <w:ind w:left="113" w:right="0" w:firstLine="0"/>
        <w:jc w:val="left"/>
        <w:rPr>
          <w:b/>
          <w:sz w:val="20"/>
        </w:rPr>
      </w:pPr>
      <w:r>
        <w:rPr>
          <w:b/>
          <w:sz w:val="20"/>
        </w:rPr>
        <w:t>N°69</w:t>
      </w:r>
      <w:r>
        <w:rPr>
          <w:b/>
          <w:spacing w:val="-6"/>
          <w:sz w:val="20"/>
        </w:rPr>
        <w:t> </w:t>
      </w:r>
      <w:r>
        <w:rPr>
          <w:b/>
          <w:sz w:val="20"/>
        </w:rPr>
        <w:t>-8</w:t>
      </w:r>
      <w:r>
        <w:rPr>
          <w:b/>
          <w:spacing w:val="-5"/>
          <w:sz w:val="20"/>
        </w:rPr>
        <w:t> </w:t>
      </w:r>
      <w:r>
        <w:rPr>
          <w:b/>
          <w:sz w:val="20"/>
        </w:rPr>
        <w:t>novembre</w:t>
      </w:r>
      <w:r>
        <w:rPr>
          <w:b/>
          <w:spacing w:val="-8"/>
          <w:sz w:val="20"/>
        </w:rPr>
        <w:t> </w:t>
      </w:r>
      <w:r>
        <w:rPr>
          <w:b/>
          <w:spacing w:val="-4"/>
          <w:sz w:val="20"/>
        </w:rPr>
        <w:t>2001</w:t>
      </w:r>
    </w:p>
    <w:p>
      <w:pPr>
        <w:pStyle w:val="BodyText"/>
        <w:spacing w:before="10"/>
        <w:ind w:left="0"/>
        <w:rPr>
          <w:b/>
          <w:sz w:val="18"/>
        </w:rPr>
      </w:pPr>
    </w:p>
    <w:p>
      <w:pPr>
        <w:pStyle w:val="BodyText"/>
        <w:spacing w:before="1"/>
        <w:ind w:left="120"/>
      </w:pPr>
      <w:r>
        <w:rPr>
          <w:spacing w:val="-2"/>
        </w:rPr>
        <w:t>Sommaire</w:t>
      </w:r>
    </w:p>
    <w:p>
      <w:pPr>
        <w:pStyle w:val="BodyText"/>
        <w:spacing w:before="10"/>
        <w:ind w:left="0"/>
        <w:rPr>
          <w:sz w:val="19"/>
        </w:rPr>
      </w:pPr>
    </w:p>
    <w:p>
      <w:pPr>
        <w:pStyle w:val="ListParagraph"/>
        <w:numPr>
          <w:ilvl w:val="0"/>
          <w:numId w:val="1"/>
        </w:numPr>
        <w:tabs>
          <w:tab w:pos="331" w:val="left" w:leader="none"/>
        </w:tabs>
        <w:spacing w:line="240" w:lineRule="auto" w:before="0" w:after="0"/>
        <w:ind w:left="331" w:right="0" w:hanging="218"/>
        <w:jc w:val="left"/>
        <w:rPr>
          <w:sz w:val="20"/>
        </w:rPr>
      </w:pPr>
      <w:r>
        <w:rPr>
          <w:color w:val="0000FF"/>
          <w:spacing w:val="-7"/>
          <w:sz w:val="20"/>
          <w:u w:val="single" w:color="0000FF"/>
        </w:rPr>
        <w:t> </w:t>
      </w:r>
      <w:r>
        <w:rPr>
          <w:color w:val="0000FF"/>
          <w:sz w:val="20"/>
          <w:u w:val="single" w:color="0000FF"/>
        </w:rPr>
        <w:t>Les</w:t>
      </w:r>
      <w:r>
        <w:rPr>
          <w:color w:val="0000FF"/>
          <w:spacing w:val="-7"/>
          <w:sz w:val="20"/>
          <w:u w:val="single" w:color="0000FF"/>
        </w:rPr>
        <w:t> </w:t>
      </w:r>
      <w:r>
        <w:rPr>
          <w:color w:val="0000FF"/>
          <w:sz w:val="20"/>
          <w:u w:val="single" w:color="0000FF"/>
        </w:rPr>
        <w:t>couples</w:t>
      </w:r>
      <w:r>
        <w:rPr>
          <w:color w:val="0000FF"/>
          <w:spacing w:val="-7"/>
          <w:sz w:val="20"/>
          <w:u w:val="single" w:color="0000FF"/>
        </w:rPr>
        <w:t> </w:t>
      </w:r>
      <w:r>
        <w:rPr>
          <w:color w:val="0000FF"/>
          <w:sz w:val="20"/>
          <w:u w:val="single" w:color="0000FF"/>
        </w:rPr>
        <w:t>sérodifférents</w:t>
      </w:r>
      <w:r>
        <w:rPr>
          <w:color w:val="0000FF"/>
          <w:spacing w:val="-4"/>
          <w:sz w:val="20"/>
          <w:u w:val="single" w:color="0000FF"/>
        </w:rPr>
        <w:t> </w:t>
      </w:r>
      <w:r>
        <w:rPr>
          <w:color w:val="0000FF"/>
          <w:sz w:val="20"/>
          <w:u w:val="single" w:color="0000FF"/>
        </w:rPr>
        <w:t>dont</w:t>
      </w:r>
      <w:r>
        <w:rPr>
          <w:color w:val="0000FF"/>
          <w:spacing w:val="-6"/>
          <w:sz w:val="20"/>
          <w:u w:val="single" w:color="0000FF"/>
        </w:rPr>
        <w:t> </w:t>
      </w:r>
      <w:r>
        <w:rPr>
          <w:color w:val="0000FF"/>
          <w:sz w:val="20"/>
          <w:u w:val="single" w:color="0000FF"/>
        </w:rPr>
        <w:t>la</w:t>
      </w:r>
      <w:r>
        <w:rPr>
          <w:color w:val="0000FF"/>
          <w:spacing w:val="-5"/>
          <w:sz w:val="20"/>
          <w:u w:val="single" w:color="0000FF"/>
        </w:rPr>
        <w:t> </w:t>
      </w:r>
      <w:r>
        <w:rPr>
          <w:color w:val="0000FF"/>
          <w:sz w:val="20"/>
          <w:u w:val="single" w:color="0000FF"/>
        </w:rPr>
        <w:t>femme</w:t>
      </w:r>
      <w:r>
        <w:rPr>
          <w:color w:val="0000FF"/>
          <w:spacing w:val="-5"/>
          <w:sz w:val="20"/>
          <w:u w:val="single" w:color="0000FF"/>
        </w:rPr>
        <w:t> </w:t>
      </w:r>
      <w:r>
        <w:rPr>
          <w:color w:val="0000FF"/>
          <w:sz w:val="20"/>
          <w:u w:val="single" w:color="0000FF"/>
        </w:rPr>
        <w:t>est</w:t>
      </w:r>
      <w:r>
        <w:rPr>
          <w:color w:val="0000FF"/>
          <w:spacing w:val="-5"/>
          <w:sz w:val="20"/>
          <w:u w:val="single" w:color="0000FF"/>
        </w:rPr>
        <w:t> </w:t>
      </w:r>
      <w:r>
        <w:rPr>
          <w:color w:val="0000FF"/>
          <w:sz w:val="20"/>
          <w:u w:val="single" w:color="0000FF"/>
        </w:rPr>
        <w:t>séropositive</w:t>
      </w:r>
      <w:r>
        <w:rPr>
          <w:color w:val="0000FF"/>
          <w:spacing w:val="-8"/>
          <w:sz w:val="20"/>
          <w:u w:val="single" w:color="0000FF"/>
        </w:rPr>
        <w:t> </w:t>
      </w:r>
      <w:r>
        <w:rPr>
          <w:color w:val="0000FF"/>
          <w:sz w:val="20"/>
          <w:u w:val="single" w:color="0000FF"/>
        </w:rPr>
        <w:t>pour</w:t>
      </w:r>
      <w:r>
        <w:rPr>
          <w:color w:val="0000FF"/>
          <w:spacing w:val="-7"/>
          <w:sz w:val="20"/>
          <w:u w:val="single" w:color="0000FF"/>
        </w:rPr>
        <w:t> </w:t>
      </w:r>
      <w:r>
        <w:rPr>
          <w:color w:val="0000FF"/>
          <w:sz w:val="20"/>
          <w:u w:val="single" w:color="0000FF"/>
        </w:rPr>
        <w:t>le</w:t>
      </w:r>
      <w:r>
        <w:rPr>
          <w:color w:val="0000FF"/>
          <w:spacing w:val="-8"/>
          <w:sz w:val="20"/>
          <w:u w:val="single" w:color="0000FF"/>
        </w:rPr>
        <w:t> </w:t>
      </w:r>
      <w:r>
        <w:rPr>
          <w:color w:val="0000FF"/>
          <w:spacing w:val="-5"/>
          <w:sz w:val="20"/>
          <w:u w:val="single" w:color="0000FF"/>
        </w:rPr>
        <w:t>VIH</w:t>
      </w:r>
    </w:p>
    <w:p>
      <w:pPr>
        <w:pStyle w:val="ListParagraph"/>
        <w:numPr>
          <w:ilvl w:val="0"/>
          <w:numId w:val="1"/>
        </w:numPr>
        <w:tabs>
          <w:tab w:pos="331" w:val="left" w:leader="none"/>
        </w:tabs>
        <w:spacing w:line="240" w:lineRule="auto" w:before="2" w:after="0"/>
        <w:ind w:left="113" w:right="280" w:firstLine="0"/>
        <w:jc w:val="left"/>
        <w:rPr>
          <w:sz w:val="20"/>
        </w:rPr>
      </w:pPr>
      <w:r>
        <w:rPr>
          <w:color w:val="0000FF"/>
          <w:spacing w:val="-3"/>
          <w:sz w:val="20"/>
          <w:u w:val="single" w:color="0000FF"/>
        </w:rPr>
        <w:t> </w:t>
      </w:r>
      <w:r>
        <w:rPr>
          <w:color w:val="0000FF"/>
          <w:sz w:val="20"/>
          <w:u w:val="single" w:color="0000FF"/>
        </w:rPr>
        <w:t>La</w:t>
      </w:r>
      <w:r>
        <w:rPr>
          <w:color w:val="0000FF"/>
          <w:spacing w:val="-2"/>
          <w:sz w:val="20"/>
          <w:u w:val="single" w:color="0000FF"/>
        </w:rPr>
        <w:t> </w:t>
      </w:r>
      <w:r>
        <w:rPr>
          <w:color w:val="0000FF"/>
          <w:sz w:val="20"/>
          <w:u w:val="single" w:color="0000FF"/>
        </w:rPr>
        <w:t>prise</w:t>
      </w:r>
      <w:r>
        <w:rPr>
          <w:color w:val="0000FF"/>
          <w:spacing w:val="-2"/>
          <w:sz w:val="20"/>
          <w:u w:val="single" w:color="0000FF"/>
        </w:rPr>
        <w:t> </w:t>
      </w:r>
      <w:r>
        <w:rPr>
          <w:color w:val="0000FF"/>
          <w:sz w:val="20"/>
          <w:u w:val="single" w:color="0000FF"/>
        </w:rPr>
        <w:t>en charge</w:t>
      </w:r>
      <w:r>
        <w:rPr>
          <w:color w:val="0000FF"/>
          <w:spacing w:val="-2"/>
          <w:sz w:val="20"/>
          <w:u w:val="single" w:color="0000FF"/>
        </w:rPr>
        <w:t> </w:t>
      </w:r>
      <w:r>
        <w:rPr>
          <w:color w:val="0000FF"/>
          <w:sz w:val="20"/>
          <w:u w:val="single" w:color="0000FF"/>
        </w:rPr>
        <w:t>en</w:t>
      </w:r>
      <w:r>
        <w:rPr>
          <w:color w:val="0000FF"/>
          <w:spacing w:val="-2"/>
          <w:sz w:val="20"/>
          <w:u w:val="single" w:color="0000FF"/>
        </w:rPr>
        <w:t> </w:t>
      </w:r>
      <w:r>
        <w:rPr>
          <w:color w:val="0000FF"/>
          <w:sz w:val="20"/>
          <w:u w:val="single" w:color="0000FF"/>
        </w:rPr>
        <w:t>AMP</w:t>
      </w:r>
      <w:r>
        <w:rPr>
          <w:color w:val="0000FF"/>
          <w:spacing w:val="-3"/>
          <w:sz w:val="20"/>
          <w:u w:val="single" w:color="0000FF"/>
        </w:rPr>
        <w:t> </w:t>
      </w:r>
      <w:r>
        <w:rPr>
          <w:color w:val="0000FF"/>
          <w:sz w:val="20"/>
          <w:u w:val="single" w:color="0000FF"/>
        </w:rPr>
        <w:t>des</w:t>
      </w:r>
      <w:r>
        <w:rPr>
          <w:color w:val="0000FF"/>
          <w:spacing w:val="-2"/>
          <w:sz w:val="20"/>
          <w:u w:val="single" w:color="0000FF"/>
        </w:rPr>
        <w:t> </w:t>
      </w:r>
      <w:r>
        <w:rPr>
          <w:color w:val="0000FF"/>
          <w:sz w:val="20"/>
          <w:u w:val="single" w:color="0000FF"/>
        </w:rPr>
        <w:t>couples</w:t>
      </w:r>
      <w:r>
        <w:rPr>
          <w:color w:val="0000FF"/>
          <w:spacing w:val="-4"/>
          <w:sz w:val="20"/>
          <w:u w:val="single" w:color="0000FF"/>
        </w:rPr>
        <w:t> </w:t>
      </w:r>
      <w:r>
        <w:rPr>
          <w:color w:val="0000FF"/>
          <w:sz w:val="20"/>
          <w:u w:val="single" w:color="0000FF"/>
        </w:rPr>
        <w:t>dont</w:t>
      </w:r>
      <w:r>
        <w:rPr>
          <w:color w:val="0000FF"/>
          <w:spacing w:val="-2"/>
          <w:sz w:val="20"/>
          <w:u w:val="single" w:color="0000FF"/>
        </w:rPr>
        <w:t> </w:t>
      </w:r>
      <w:r>
        <w:rPr>
          <w:color w:val="0000FF"/>
          <w:sz w:val="20"/>
          <w:u w:val="single" w:color="0000FF"/>
        </w:rPr>
        <w:t>l'homme</w:t>
      </w:r>
      <w:r>
        <w:rPr>
          <w:color w:val="0000FF"/>
          <w:spacing w:val="-2"/>
          <w:sz w:val="20"/>
          <w:u w:val="single" w:color="0000FF"/>
        </w:rPr>
        <w:t> </w:t>
      </w:r>
      <w:r>
        <w:rPr>
          <w:color w:val="0000FF"/>
          <w:sz w:val="20"/>
          <w:u w:val="single" w:color="0000FF"/>
        </w:rPr>
        <w:t>et</w:t>
      </w:r>
      <w:r>
        <w:rPr>
          <w:color w:val="0000FF"/>
          <w:spacing w:val="-3"/>
          <w:sz w:val="20"/>
          <w:u w:val="single" w:color="0000FF"/>
        </w:rPr>
        <w:t> </w:t>
      </w:r>
      <w:r>
        <w:rPr>
          <w:color w:val="0000FF"/>
          <w:sz w:val="20"/>
          <w:u w:val="single" w:color="0000FF"/>
        </w:rPr>
        <w:t>la</w:t>
      </w:r>
      <w:r>
        <w:rPr>
          <w:color w:val="0000FF"/>
          <w:spacing w:val="-2"/>
          <w:sz w:val="20"/>
          <w:u w:val="single" w:color="0000FF"/>
        </w:rPr>
        <w:t> </w:t>
      </w:r>
      <w:r>
        <w:rPr>
          <w:color w:val="0000FF"/>
          <w:sz w:val="20"/>
          <w:u w:val="single" w:color="0000FF"/>
        </w:rPr>
        <w:t>femme</w:t>
      </w:r>
      <w:r>
        <w:rPr>
          <w:color w:val="0000FF"/>
          <w:spacing w:val="-2"/>
          <w:sz w:val="20"/>
          <w:u w:val="single" w:color="0000FF"/>
        </w:rPr>
        <w:t> </w:t>
      </w:r>
      <w:r>
        <w:rPr>
          <w:color w:val="0000FF"/>
          <w:sz w:val="20"/>
          <w:u w:val="single" w:color="0000FF"/>
        </w:rPr>
        <w:t>sont</w:t>
      </w:r>
      <w:r>
        <w:rPr>
          <w:color w:val="0000FF"/>
          <w:spacing w:val="-3"/>
          <w:sz w:val="20"/>
          <w:u w:val="single" w:color="0000FF"/>
        </w:rPr>
        <w:t> </w:t>
      </w:r>
      <w:r>
        <w:rPr>
          <w:color w:val="0000FF"/>
          <w:sz w:val="20"/>
          <w:u w:val="single" w:color="0000FF"/>
        </w:rPr>
        <w:t>séropositifs</w:t>
      </w:r>
      <w:r>
        <w:rPr>
          <w:color w:val="0000FF"/>
          <w:spacing w:val="-4"/>
          <w:sz w:val="20"/>
          <w:u w:val="single" w:color="0000FF"/>
        </w:rPr>
        <w:t> </w:t>
      </w:r>
      <w:r>
        <w:rPr>
          <w:color w:val="0000FF"/>
          <w:sz w:val="20"/>
          <w:u w:val="single" w:color="0000FF"/>
        </w:rPr>
        <w:t>pour</w:t>
      </w:r>
      <w:r>
        <w:rPr>
          <w:color w:val="0000FF"/>
          <w:sz w:val="20"/>
        </w:rPr>
        <w:t> </w:t>
      </w:r>
      <w:r>
        <w:rPr>
          <w:color w:val="0000FF"/>
          <w:sz w:val="20"/>
          <w:u w:val="single" w:color="0000FF"/>
        </w:rPr>
        <w:t>le VIH</w:t>
      </w:r>
    </w:p>
    <w:p>
      <w:pPr>
        <w:pStyle w:val="ListParagraph"/>
        <w:numPr>
          <w:ilvl w:val="0"/>
          <w:numId w:val="1"/>
        </w:numPr>
        <w:tabs>
          <w:tab w:pos="331" w:val="left" w:leader="none"/>
        </w:tabs>
        <w:spacing w:line="240" w:lineRule="auto" w:before="0" w:after="0"/>
        <w:ind w:left="113" w:right="760" w:firstLine="0"/>
        <w:jc w:val="left"/>
        <w:rPr>
          <w:sz w:val="20"/>
        </w:rPr>
      </w:pPr>
      <w:r>
        <w:rPr>
          <w:color w:val="0000FF"/>
          <w:spacing w:val="-4"/>
          <w:sz w:val="20"/>
          <w:u w:val="single" w:color="0000FF"/>
        </w:rPr>
        <w:t> </w:t>
      </w:r>
      <w:r>
        <w:rPr>
          <w:color w:val="0000FF"/>
          <w:sz w:val="20"/>
          <w:u w:val="single" w:color="0000FF"/>
        </w:rPr>
        <w:t>La</w:t>
      </w:r>
      <w:r>
        <w:rPr>
          <w:color w:val="0000FF"/>
          <w:spacing w:val="-3"/>
          <w:sz w:val="20"/>
          <w:u w:val="single" w:color="0000FF"/>
        </w:rPr>
        <w:t> </w:t>
      </w:r>
      <w:r>
        <w:rPr>
          <w:color w:val="0000FF"/>
          <w:sz w:val="20"/>
          <w:u w:val="single" w:color="0000FF"/>
        </w:rPr>
        <w:t>prise</w:t>
      </w:r>
      <w:r>
        <w:rPr>
          <w:color w:val="0000FF"/>
          <w:spacing w:val="-3"/>
          <w:sz w:val="20"/>
          <w:u w:val="single" w:color="0000FF"/>
        </w:rPr>
        <w:t> </w:t>
      </w:r>
      <w:r>
        <w:rPr>
          <w:color w:val="0000FF"/>
          <w:sz w:val="20"/>
          <w:u w:val="single" w:color="0000FF"/>
        </w:rPr>
        <w:t>en charge</w:t>
      </w:r>
      <w:r>
        <w:rPr>
          <w:color w:val="0000FF"/>
          <w:spacing w:val="-5"/>
          <w:sz w:val="20"/>
          <w:u w:val="single" w:color="0000FF"/>
        </w:rPr>
        <w:t> </w:t>
      </w:r>
      <w:r>
        <w:rPr>
          <w:color w:val="0000FF"/>
          <w:sz w:val="20"/>
          <w:u w:val="single" w:color="0000FF"/>
        </w:rPr>
        <w:t>des</w:t>
      </w:r>
      <w:r>
        <w:rPr>
          <w:color w:val="0000FF"/>
          <w:spacing w:val="-2"/>
          <w:sz w:val="20"/>
          <w:u w:val="single" w:color="0000FF"/>
        </w:rPr>
        <w:t> </w:t>
      </w:r>
      <w:r>
        <w:rPr>
          <w:color w:val="0000FF"/>
          <w:sz w:val="20"/>
          <w:u w:val="single" w:color="0000FF"/>
        </w:rPr>
        <w:t>couples</w:t>
      </w:r>
      <w:r>
        <w:rPr>
          <w:color w:val="0000FF"/>
          <w:spacing w:val="-5"/>
          <w:sz w:val="20"/>
          <w:u w:val="single" w:color="0000FF"/>
        </w:rPr>
        <w:t> </w:t>
      </w:r>
      <w:r>
        <w:rPr>
          <w:color w:val="0000FF"/>
          <w:sz w:val="20"/>
          <w:u w:val="single" w:color="0000FF"/>
        </w:rPr>
        <w:t>dont</w:t>
      </w:r>
      <w:r>
        <w:rPr>
          <w:color w:val="0000FF"/>
          <w:spacing w:val="-3"/>
          <w:sz w:val="20"/>
          <w:u w:val="single" w:color="0000FF"/>
        </w:rPr>
        <w:t> </w:t>
      </w:r>
      <w:r>
        <w:rPr>
          <w:color w:val="0000FF"/>
          <w:sz w:val="20"/>
          <w:u w:val="single" w:color="0000FF"/>
        </w:rPr>
        <w:t>l'un</w:t>
      </w:r>
      <w:r>
        <w:rPr>
          <w:color w:val="0000FF"/>
          <w:spacing w:val="-3"/>
          <w:sz w:val="20"/>
          <w:u w:val="single" w:color="0000FF"/>
        </w:rPr>
        <w:t> </w:t>
      </w:r>
      <w:r>
        <w:rPr>
          <w:color w:val="0000FF"/>
          <w:sz w:val="20"/>
          <w:u w:val="single" w:color="0000FF"/>
        </w:rPr>
        <w:t>ou</w:t>
      </w:r>
      <w:r>
        <w:rPr>
          <w:color w:val="0000FF"/>
          <w:spacing w:val="-3"/>
          <w:sz w:val="20"/>
          <w:u w:val="single" w:color="0000FF"/>
        </w:rPr>
        <w:t> </w:t>
      </w:r>
      <w:r>
        <w:rPr>
          <w:color w:val="0000FF"/>
          <w:sz w:val="20"/>
          <w:u w:val="single" w:color="0000FF"/>
        </w:rPr>
        <w:t>les</w:t>
      </w:r>
      <w:r>
        <w:rPr>
          <w:color w:val="0000FF"/>
          <w:spacing w:val="-5"/>
          <w:sz w:val="20"/>
          <w:u w:val="single" w:color="0000FF"/>
        </w:rPr>
        <w:t> </w:t>
      </w:r>
      <w:r>
        <w:rPr>
          <w:color w:val="0000FF"/>
          <w:sz w:val="20"/>
          <w:u w:val="single" w:color="0000FF"/>
        </w:rPr>
        <w:t>deux</w:t>
      </w:r>
      <w:r>
        <w:rPr>
          <w:color w:val="0000FF"/>
          <w:spacing w:val="-4"/>
          <w:sz w:val="20"/>
          <w:u w:val="single" w:color="0000FF"/>
        </w:rPr>
        <w:t> </w:t>
      </w:r>
      <w:r>
        <w:rPr>
          <w:color w:val="0000FF"/>
          <w:sz w:val="20"/>
          <w:u w:val="single" w:color="0000FF"/>
        </w:rPr>
        <w:t>membres</w:t>
      </w:r>
      <w:r>
        <w:rPr>
          <w:color w:val="0000FF"/>
          <w:spacing w:val="-5"/>
          <w:sz w:val="20"/>
          <w:u w:val="single" w:color="0000FF"/>
        </w:rPr>
        <w:t> </w:t>
      </w:r>
      <w:r>
        <w:rPr>
          <w:color w:val="0000FF"/>
          <w:sz w:val="20"/>
          <w:u w:val="single" w:color="0000FF"/>
        </w:rPr>
        <w:t>présentent</w:t>
      </w:r>
      <w:r>
        <w:rPr>
          <w:color w:val="0000FF"/>
          <w:spacing w:val="-3"/>
          <w:sz w:val="20"/>
          <w:u w:val="single" w:color="0000FF"/>
        </w:rPr>
        <w:t> </w:t>
      </w:r>
      <w:r>
        <w:rPr>
          <w:color w:val="0000FF"/>
          <w:sz w:val="20"/>
          <w:u w:val="single" w:color="0000FF"/>
        </w:rPr>
        <w:t>plusieurs</w:t>
      </w:r>
      <w:r>
        <w:rPr>
          <w:color w:val="0000FF"/>
          <w:sz w:val="20"/>
        </w:rPr>
        <w:t> </w:t>
      </w:r>
      <w:r>
        <w:rPr>
          <w:color w:val="0000FF"/>
          <w:sz w:val="20"/>
          <w:u w:val="single" w:color="0000FF"/>
        </w:rPr>
        <w:t>risques viraux</w:t>
      </w:r>
    </w:p>
    <w:p>
      <w:pPr>
        <w:pStyle w:val="BodyText"/>
        <w:spacing w:before="11"/>
        <w:ind w:left="0"/>
        <w:rPr>
          <w:sz w:val="18"/>
        </w:rPr>
      </w:pPr>
    </w:p>
    <w:p>
      <w:pPr>
        <w:pStyle w:val="BodyText"/>
        <w:spacing w:before="1"/>
        <w:ind w:right="101"/>
        <w:jc w:val="both"/>
      </w:pPr>
      <w:r>
        <w:rPr/>
        <w:t>Les responsabilités</w:t>
      </w:r>
      <w:r>
        <w:rPr>
          <w:spacing w:val="-1"/>
        </w:rPr>
        <w:t> </w:t>
      </w:r>
      <w:r>
        <w:rPr/>
        <w:t>de la médecine</w:t>
      </w:r>
      <w:r>
        <w:rPr>
          <w:spacing w:val="-2"/>
        </w:rPr>
        <w:t> </w:t>
      </w:r>
      <w:r>
        <w:rPr/>
        <w:t>apparaissent parfois</w:t>
      </w:r>
      <w:r>
        <w:rPr>
          <w:spacing w:val="-2"/>
        </w:rPr>
        <w:t> </w:t>
      </w:r>
      <w:r>
        <w:rPr/>
        <w:t>contradictoires. Telle est la situation lorsqu'un couple dont l'un des membres est porteur d'une infection grave transmissible désire un enfant, et recourt pour ce faire à des médecins. Cet appel à des professionnels peut être justifié, soit par l'existence d'une infécondité du couple, soit par le désir de diminuer les risques de transmission de l'infection virale à l'enfant ou à un des conjoints.</w:t>
      </w:r>
      <w:r>
        <w:rPr>
          <w:spacing w:val="40"/>
        </w:rPr>
        <w:t> </w:t>
      </w:r>
      <w:r>
        <w:rPr/>
        <w:t>Les médecins se trouvent alors parfois écartelés entre leur devoir de répondre au désir légitime d'un couple d'avoir un enfant, et les risques encourus, compte tenu de l'état des parents, par ce dernier.</w:t>
      </w:r>
    </w:p>
    <w:p>
      <w:pPr>
        <w:pStyle w:val="BodyText"/>
        <w:spacing w:line="218" w:lineRule="auto" w:before="17"/>
        <w:ind w:right="103"/>
        <w:jc w:val="both"/>
      </w:pPr>
      <w:r>
        <w:rPr/>
        <w:t>Cette situation a déjà fait l'objet d'avis relatifs à la prise en charge des couples sérodifférents dont l'homme est séropositif pour le VIH, précédemment adoptés par le Conseil National du</w:t>
      </w:r>
      <w:r>
        <w:rPr>
          <w:spacing w:val="-3"/>
        </w:rPr>
        <w:t> </w:t>
      </w:r>
      <w:r>
        <w:rPr/>
        <w:t>SIDA</w:t>
      </w:r>
      <w:r>
        <w:rPr>
          <w:spacing w:val="-4"/>
        </w:rPr>
        <w:t> </w:t>
      </w:r>
      <w:r>
        <w:rPr/>
        <w:t>et</w:t>
      </w:r>
      <w:r>
        <w:rPr>
          <w:spacing w:val="-2"/>
        </w:rPr>
        <w:t> </w:t>
      </w:r>
      <w:r>
        <w:rPr/>
        <w:t>le</w:t>
      </w:r>
      <w:r>
        <w:rPr>
          <w:spacing w:val="-6"/>
        </w:rPr>
        <w:t> </w:t>
      </w:r>
      <w:r>
        <w:rPr/>
        <w:t>Comité</w:t>
      </w:r>
      <w:r>
        <w:rPr>
          <w:spacing w:val="-6"/>
        </w:rPr>
        <w:t> </w:t>
      </w:r>
      <w:r>
        <w:rPr/>
        <w:t>Consultatif</w:t>
      </w:r>
      <w:r>
        <w:rPr>
          <w:spacing w:val="-3"/>
        </w:rPr>
        <w:t> </w:t>
      </w:r>
      <w:r>
        <w:rPr/>
        <w:t>National d'éthique</w:t>
      </w:r>
      <w:r>
        <w:rPr>
          <w:spacing w:val="-3"/>
        </w:rPr>
        <w:t> </w:t>
      </w:r>
      <w:r>
        <w:rPr/>
        <w:t>(CCNE)</w:t>
      </w:r>
      <w:r>
        <w:rPr>
          <w:rFonts w:ascii="Castellar" w:hAnsi="Castellar"/>
          <w:position w:val="9"/>
          <w:sz w:val="17"/>
        </w:rPr>
        <w:t>.L</w:t>
      </w:r>
      <w:r>
        <w:rPr/>
        <w:t>.</w:t>
      </w:r>
      <w:r>
        <w:rPr>
          <w:spacing w:val="-3"/>
        </w:rPr>
        <w:t> </w:t>
      </w:r>
      <w:r>
        <w:rPr/>
        <w:t>Dans</w:t>
      </w:r>
      <w:r>
        <w:rPr>
          <w:spacing w:val="-1"/>
        </w:rPr>
        <w:t> </w:t>
      </w:r>
      <w:r>
        <w:rPr/>
        <w:t>son</w:t>
      </w:r>
      <w:r>
        <w:rPr>
          <w:spacing w:val="-1"/>
        </w:rPr>
        <w:t> </w:t>
      </w:r>
      <w:r>
        <w:rPr/>
        <w:t>avis</w:t>
      </w:r>
    </w:p>
    <w:p>
      <w:pPr>
        <w:pStyle w:val="BodyText"/>
        <w:spacing w:before="2"/>
        <w:ind w:right="100"/>
        <w:jc w:val="both"/>
      </w:pPr>
      <w:r>
        <w:rPr/>
        <w:t>du 19 avril 2001, en réponse à une saisine sur les couples sérodifférents formulée en novembre 2000 par Madame Gillot, Secrétaire d'Etat à la Santé et aux Handicapés, le CCNE avait indiqué que les problèmes éthiques posés par le désir d'enfant chez des couples sérodifférents où la femme est séropositive feraient l'objet d'un avis distinct. Dans cette situation, l'objectif d'une demande d'assistance médicale à la procréation peut être, soit, comme dans le cas général, le traitement d'une stérilité, soit, lorsque le conjoint masculin n'est pas infecté, sa protection. Cependant, la nécessité de tout mettre en œuvre pour</w:t>
      </w:r>
      <w:r>
        <w:rPr>
          <w:spacing w:val="40"/>
        </w:rPr>
        <w:t> </w:t>
      </w:r>
      <w:r>
        <w:rPr/>
        <w:t>éviter l'infection de l'enfant à naître est dans tous les cas impérieuse</w:t>
      </w:r>
      <w:r>
        <w:rPr>
          <w:spacing w:val="80"/>
        </w:rPr>
        <w:t> </w:t>
      </w:r>
      <w:r>
        <w:rPr/>
        <w:t>Or, alors que cette protection de l'enfant peut aujourd'hui être assurée de manière presque totale dans le cas d'un homme séropositif et d'une femme séronégative, l'inverse est beaucoup plus incertain. En fait, dans ce dernier cas, les techniques d'assistance médicale à la procréation par elles- mêmes n'ont pas le pouvoir de diminuer le risque pour l'enfant.</w:t>
      </w:r>
    </w:p>
    <w:p>
      <w:pPr>
        <w:pStyle w:val="BodyText"/>
        <w:ind w:right="105"/>
        <w:jc w:val="both"/>
      </w:pPr>
      <w:r>
        <w:rPr/>
        <w:t>Le présent avis soulève aussi le problème du désir d'enfant de la part de couples dont l'homme et la femme sont tous deux séropositifs pour le VIH, ou dont l'un (ou les deux) membres est (sont) atteint(s) par une autre infection virale que le VIH.</w:t>
      </w:r>
    </w:p>
    <w:p>
      <w:pPr>
        <w:pStyle w:val="BodyText"/>
        <w:spacing w:line="218" w:lineRule="auto" w:before="17"/>
        <w:ind w:right="103"/>
        <w:jc w:val="both"/>
      </w:pPr>
      <w:r>
        <w:rPr/>
        <w:t>Le CCNE se félicite des dispositions récentes relatives à la prise en charge en AMP des patients à risque viral, arrêtées le 10 mai 2001 par le Ministre délégué à la santé</w:t>
      </w:r>
      <w:r>
        <w:rPr>
          <w:rFonts w:ascii="Castellar" w:hAnsi="Castellar"/>
          <w:position w:val="9"/>
          <w:sz w:val="17"/>
        </w:rPr>
        <w:t>L</w:t>
      </w:r>
      <w:r>
        <w:rPr/>
        <w:t>.La modification</w:t>
      </w:r>
      <w:r>
        <w:rPr>
          <w:spacing w:val="19"/>
        </w:rPr>
        <w:t> </w:t>
      </w:r>
      <w:r>
        <w:rPr/>
        <w:t>des</w:t>
      </w:r>
      <w:r>
        <w:rPr>
          <w:spacing w:val="17"/>
        </w:rPr>
        <w:t> </w:t>
      </w:r>
      <w:r>
        <w:rPr/>
        <w:t>règles</w:t>
      </w:r>
      <w:r>
        <w:rPr>
          <w:spacing w:val="17"/>
        </w:rPr>
        <w:t> </w:t>
      </w:r>
      <w:r>
        <w:rPr/>
        <w:t>de</w:t>
      </w:r>
      <w:r>
        <w:rPr>
          <w:spacing w:val="17"/>
        </w:rPr>
        <w:t> </w:t>
      </w:r>
      <w:r>
        <w:rPr/>
        <w:t>bonnes</w:t>
      </w:r>
      <w:r>
        <w:rPr>
          <w:spacing w:val="17"/>
        </w:rPr>
        <w:t> </w:t>
      </w:r>
      <w:r>
        <w:rPr/>
        <w:t>pratiques</w:t>
      </w:r>
      <w:r>
        <w:rPr>
          <w:spacing w:val="17"/>
        </w:rPr>
        <w:t> </w:t>
      </w:r>
      <w:r>
        <w:rPr/>
        <w:t>cliniques</w:t>
      </w:r>
      <w:r>
        <w:rPr>
          <w:spacing w:val="17"/>
        </w:rPr>
        <w:t> </w:t>
      </w:r>
      <w:r>
        <w:rPr/>
        <w:t>et</w:t>
      </w:r>
      <w:r>
        <w:rPr>
          <w:spacing w:val="19"/>
        </w:rPr>
        <w:t> </w:t>
      </w:r>
      <w:r>
        <w:rPr/>
        <w:t>biologiques</w:t>
      </w:r>
      <w:r>
        <w:rPr>
          <w:spacing w:val="17"/>
        </w:rPr>
        <w:t> </w:t>
      </w:r>
      <w:r>
        <w:rPr/>
        <w:t>en</w:t>
      </w:r>
      <w:r>
        <w:rPr>
          <w:spacing w:val="19"/>
        </w:rPr>
        <w:t> </w:t>
      </w:r>
      <w:r>
        <w:rPr/>
        <w:t>la</w:t>
      </w:r>
      <w:r>
        <w:rPr>
          <w:spacing w:val="21"/>
        </w:rPr>
        <w:t> </w:t>
      </w:r>
      <w:r>
        <w:rPr/>
        <w:t>matière</w:t>
      </w:r>
      <w:r>
        <w:rPr>
          <w:spacing w:val="21"/>
        </w:rPr>
        <w:t> </w:t>
      </w:r>
      <w:r>
        <w:rPr/>
        <w:t>répond,</w:t>
      </w:r>
    </w:p>
    <w:p>
      <w:pPr>
        <w:pStyle w:val="BodyText"/>
        <w:spacing w:before="2"/>
        <w:ind w:right="104"/>
        <w:jc w:val="both"/>
      </w:pPr>
      <w:r>
        <w:rPr/>
        <w:t>pour une large part, aux recommandations qu'il avait émises en faveur d'une prise en charge en AMP des couples sérodifférents dont l'homme est séropositif pour le VIH. En outre, ces nouvelles dispositions rendent possible la prise en charge des couples où la femme est séropositive au VIH, et de ceux dont l'un ou les deux membres sont infectés par les virus des hépatites C (VHC) ou B (VHB).</w:t>
      </w:r>
    </w:p>
    <w:p>
      <w:pPr>
        <w:pStyle w:val="BodyText"/>
        <w:ind w:right="103"/>
        <w:jc w:val="both"/>
      </w:pPr>
      <w:r>
        <w:rPr/>
        <w:t>Le</w:t>
      </w:r>
      <w:r>
        <w:rPr>
          <w:spacing w:val="-3"/>
        </w:rPr>
        <w:t> </w:t>
      </w:r>
      <w:r>
        <w:rPr/>
        <w:t>nouvel arrêté</w:t>
      </w:r>
      <w:r>
        <w:rPr>
          <w:spacing w:val="-3"/>
        </w:rPr>
        <w:t> </w:t>
      </w:r>
      <w:r>
        <w:rPr/>
        <w:t>lève</w:t>
      </w:r>
      <w:r>
        <w:rPr>
          <w:spacing w:val="-3"/>
        </w:rPr>
        <w:t> </w:t>
      </w:r>
      <w:r>
        <w:rPr/>
        <w:t>ainsi une</w:t>
      </w:r>
      <w:r>
        <w:rPr>
          <w:spacing w:val="-6"/>
        </w:rPr>
        <w:t> </w:t>
      </w:r>
      <w:r>
        <w:rPr/>
        <w:t>interdiction de</w:t>
      </w:r>
      <w:r>
        <w:rPr>
          <w:spacing w:val="-3"/>
        </w:rPr>
        <w:t> </w:t>
      </w:r>
      <w:r>
        <w:rPr/>
        <w:t>principe</w:t>
      </w:r>
      <w:r>
        <w:rPr>
          <w:spacing w:val="-3"/>
        </w:rPr>
        <w:t> </w:t>
      </w:r>
      <w:r>
        <w:rPr/>
        <w:t>d'accès à l'AMP, qui était ressenti par certains</w:t>
      </w:r>
      <w:r>
        <w:rPr>
          <w:spacing w:val="-5"/>
        </w:rPr>
        <w:t> </w:t>
      </w:r>
      <w:r>
        <w:rPr/>
        <w:t>couples</w:t>
      </w:r>
      <w:r>
        <w:rPr>
          <w:spacing w:val="-5"/>
        </w:rPr>
        <w:t> </w:t>
      </w:r>
      <w:r>
        <w:rPr/>
        <w:t>comme</w:t>
      </w:r>
      <w:r>
        <w:rPr>
          <w:spacing w:val="-6"/>
        </w:rPr>
        <w:t> </w:t>
      </w:r>
      <w:r>
        <w:rPr/>
        <w:t>discriminatoire. Il édicte</w:t>
      </w:r>
      <w:r>
        <w:rPr>
          <w:spacing w:val="-3"/>
        </w:rPr>
        <w:t> </w:t>
      </w:r>
      <w:r>
        <w:rPr/>
        <w:t>des</w:t>
      </w:r>
      <w:r>
        <w:rPr>
          <w:spacing w:val="-2"/>
        </w:rPr>
        <w:t> </w:t>
      </w:r>
      <w:r>
        <w:rPr/>
        <w:t>règles strictes destinées</w:t>
      </w:r>
      <w:r>
        <w:rPr>
          <w:spacing w:val="-3"/>
        </w:rPr>
        <w:t> </w:t>
      </w:r>
      <w:r>
        <w:rPr/>
        <w:t>à encadrer</w:t>
      </w:r>
      <w:r>
        <w:rPr>
          <w:spacing w:val="-2"/>
        </w:rPr>
        <w:t> </w:t>
      </w:r>
      <w:r>
        <w:rPr/>
        <w:t>les pratiques cliniques et biologiques des établissements agréés pour les pratiques de l'AMP et qui désirent assurer la prise en charge particulière des patients présentant un risque viral.</w:t>
      </w:r>
    </w:p>
    <w:p>
      <w:pPr>
        <w:pStyle w:val="BodyText"/>
        <w:ind w:right="104"/>
        <w:jc w:val="both"/>
      </w:pPr>
      <w:r>
        <w:rPr/>
        <w:t>L'adoption des nouvelles dispositions réglementaires ne saurait cependant résoudre l'ensemble des problèmes qui se posent aux couples concernés. En particulier, si le recours</w:t>
      </w:r>
    </w:p>
    <w:p>
      <w:pPr>
        <w:spacing w:after="0"/>
        <w:jc w:val="both"/>
        <w:sectPr>
          <w:type w:val="continuous"/>
          <w:pgSz w:w="11900" w:h="16840"/>
          <w:pgMar w:top="1340" w:bottom="280" w:left="1160" w:right="1160"/>
        </w:sectPr>
      </w:pPr>
    </w:p>
    <w:p>
      <w:pPr>
        <w:pStyle w:val="BodyText"/>
        <w:spacing w:before="81"/>
        <w:ind w:right="102"/>
        <w:jc w:val="both"/>
      </w:pPr>
      <w:r>
        <w:rPr/>
        <w:t>à l'AMP semble être incontournable pour les couples sérodifférents dont l'homme est séropositif pour le VIH, il ne s'impose pas nécessairement à tous les couples sérodifférents dont la femme est séropositive pour ce virus Le présent avis s'intéresse aussi à tous les couples porteurs d'une infection virale et désirant un enfant.</w:t>
      </w:r>
    </w:p>
    <w:p>
      <w:pPr>
        <w:pStyle w:val="BodyText"/>
        <w:ind w:left="0"/>
        <w:rPr>
          <w:sz w:val="24"/>
        </w:rPr>
      </w:pPr>
    </w:p>
    <w:p>
      <w:pPr>
        <w:pStyle w:val="Heading1"/>
        <w:numPr>
          <w:ilvl w:val="1"/>
          <w:numId w:val="1"/>
        </w:numPr>
        <w:tabs>
          <w:tab w:pos="666" w:val="left" w:leader="none"/>
          <w:tab w:pos="668" w:val="left" w:leader="none"/>
          <w:tab w:pos="1582" w:val="left" w:leader="none"/>
          <w:tab w:pos="3164" w:val="left" w:leader="none"/>
          <w:tab w:pos="5764" w:val="left" w:leader="none"/>
          <w:tab w:pos="6863" w:val="left" w:leader="none"/>
          <w:tab w:pos="7530" w:val="left" w:leader="none"/>
          <w:tab w:pos="8994" w:val="left" w:leader="none"/>
        </w:tabs>
        <w:spacing w:line="240" w:lineRule="auto" w:before="163" w:after="0"/>
        <w:ind w:left="668" w:right="103" w:hanging="449"/>
        <w:jc w:val="left"/>
      </w:pPr>
      <w:r>
        <w:rPr>
          <w:spacing w:val="-4"/>
        </w:rPr>
        <w:t>Les</w:t>
      </w:r>
      <w:r>
        <w:rPr/>
        <w:tab/>
      </w:r>
      <w:r>
        <w:rPr>
          <w:spacing w:val="-2"/>
        </w:rPr>
        <w:t>couples</w:t>
      </w:r>
      <w:r>
        <w:rPr/>
        <w:tab/>
      </w:r>
      <w:r>
        <w:rPr>
          <w:spacing w:val="-2"/>
        </w:rPr>
        <w:t>sérodifférents</w:t>
      </w:r>
      <w:r>
        <w:rPr/>
        <w:tab/>
      </w:r>
      <w:r>
        <w:rPr>
          <w:spacing w:val="-4"/>
        </w:rPr>
        <w:t>dont</w:t>
      </w:r>
      <w:r>
        <w:rPr/>
        <w:tab/>
      </w:r>
      <w:r>
        <w:rPr>
          <w:spacing w:val="-6"/>
        </w:rPr>
        <w:t>la</w:t>
      </w:r>
      <w:r>
        <w:rPr/>
        <w:tab/>
      </w:r>
      <w:r>
        <w:rPr>
          <w:spacing w:val="-2"/>
        </w:rPr>
        <w:t>femme</w:t>
      </w:r>
      <w:r>
        <w:rPr/>
        <w:tab/>
      </w:r>
      <w:r>
        <w:rPr>
          <w:spacing w:val="-4"/>
        </w:rPr>
        <w:t>est </w:t>
      </w:r>
      <w:r>
        <w:rPr/>
        <w:t>séropositive pour le VIH</w:t>
      </w:r>
    </w:p>
    <w:p>
      <w:pPr>
        <w:pStyle w:val="BodyText"/>
        <w:spacing w:before="4"/>
        <w:ind w:left="0"/>
        <w:rPr>
          <w:b/>
          <w:sz w:val="27"/>
        </w:rPr>
      </w:pPr>
    </w:p>
    <w:p>
      <w:pPr>
        <w:pStyle w:val="Heading2"/>
        <w:numPr>
          <w:ilvl w:val="2"/>
          <w:numId w:val="1"/>
        </w:numPr>
        <w:tabs>
          <w:tab w:pos="877" w:val="left" w:leader="none"/>
        </w:tabs>
        <w:spacing w:line="240" w:lineRule="auto" w:before="0" w:after="0"/>
        <w:ind w:left="877" w:right="0" w:hanging="404"/>
        <w:jc w:val="left"/>
        <w:rPr>
          <w:i/>
        </w:rPr>
      </w:pPr>
      <w:r>
        <w:rPr>
          <w:i/>
        </w:rPr>
        <w:t>Les</w:t>
      </w:r>
      <w:r>
        <w:rPr>
          <w:i/>
          <w:spacing w:val="-11"/>
        </w:rPr>
        <w:t> </w:t>
      </w:r>
      <w:r>
        <w:rPr>
          <w:i/>
        </w:rPr>
        <w:t>données</w:t>
      </w:r>
      <w:r>
        <w:rPr>
          <w:i/>
          <w:spacing w:val="-10"/>
        </w:rPr>
        <w:t> </w:t>
      </w:r>
      <w:r>
        <w:rPr>
          <w:i/>
        </w:rPr>
        <w:t>épidémiologiques</w:t>
      </w:r>
      <w:r>
        <w:rPr>
          <w:i/>
          <w:spacing w:val="-11"/>
        </w:rPr>
        <w:t> </w:t>
      </w:r>
      <w:r>
        <w:rPr>
          <w:i/>
        </w:rPr>
        <w:t>et</w:t>
      </w:r>
      <w:r>
        <w:rPr>
          <w:i/>
          <w:spacing w:val="-10"/>
        </w:rPr>
        <w:t> </w:t>
      </w:r>
      <w:r>
        <w:rPr>
          <w:i/>
        </w:rPr>
        <w:t>scientifiques</w:t>
      </w:r>
      <w:r>
        <w:rPr>
          <w:i/>
          <w:spacing w:val="-11"/>
        </w:rPr>
        <w:t> </w:t>
      </w:r>
      <w:r>
        <w:rPr>
          <w:i/>
          <w:spacing w:val="-2"/>
        </w:rPr>
        <w:t>actuelles</w:t>
      </w:r>
    </w:p>
    <w:p>
      <w:pPr>
        <w:pStyle w:val="BodyText"/>
        <w:spacing w:before="6"/>
        <w:ind w:left="0"/>
        <w:rPr>
          <w:i/>
          <w:sz w:val="47"/>
        </w:rPr>
      </w:pPr>
    </w:p>
    <w:p>
      <w:pPr>
        <w:pStyle w:val="BodyText"/>
        <w:ind w:right="102"/>
        <w:jc w:val="both"/>
      </w:pPr>
      <w:r>
        <w:rPr/>
        <w:t>Si dans la période initiale des années 80 et au début des années 90, la transmission materno-infantile du virus VIH concernait 25 à 35% des naissances, les récentes stratégies de traitement antirétroviral depuis 1996 ont modifié radicalement cette situation. Tout d'abord, les membres du couple traité efficacement sont en rémission</w:t>
      </w:r>
      <w:r>
        <w:rPr>
          <w:spacing w:val="80"/>
        </w:rPr>
        <w:t> </w:t>
      </w:r>
      <w:r>
        <w:rPr/>
        <w:t>ils savent que leur espérance de vie est augmentée et désirent plus souvent qu'avant mener une vie normale, notamment en ce qui concerne la mise en route d'une grossesse. L'abaissement de la</w:t>
      </w:r>
      <w:r>
        <w:rPr>
          <w:spacing w:val="40"/>
        </w:rPr>
        <w:t> </w:t>
      </w:r>
      <w:r>
        <w:rPr/>
        <w:t>charge virale chez la mère, le traitement de l'enfant et l'utilisation de la césarienne ont permis d'abaisser le risque de transmission du VIH de la mère à l'enfant à moins de 2%. Il s'agit d'un chiffre moyen qui doit être modulé selon l'état de la charge virale. L'éventualité persistante d'une contamination de l'enfant à naître est donc faible mais réelle. Cependant, d'autres risques existent également, ainsi la toxicité mitochondriale des analogues nucléosidiques, qui peut entraîner une atteinte neurologique grave. L'évaluation exacte de l'importance de ce risque qui paraît très faible (de l'ordre de 5 %o) n'est pas achevée.</w:t>
      </w:r>
    </w:p>
    <w:p>
      <w:pPr>
        <w:pStyle w:val="BodyText"/>
        <w:spacing w:before="1"/>
        <w:ind w:right="99"/>
        <w:jc w:val="both"/>
      </w:pPr>
      <w:r>
        <w:rPr/>
        <w:t>Quoique la grossesse ne semble pas avoir d'effets sur l'évolution de l'infection par le VIH, l'évolution à long terme de la maladie de la mère, malgré les traitements, reste une grande préoccupation, notamment vis-à-vis de l'enfant, dans la mesure où cette maladie n'est à ce jour pas curable.</w:t>
      </w:r>
    </w:p>
    <w:p>
      <w:pPr>
        <w:pStyle w:val="BodyText"/>
        <w:spacing w:line="243" w:lineRule="exact"/>
        <w:jc w:val="both"/>
      </w:pPr>
      <w:r>
        <w:rPr/>
        <w:t>Dans</w:t>
      </w:r>
      <w:r>
        <w:rPr>
          <w:spacing w:val="-10"/>
        </w:rPr>
        <w:t> </w:t>
      </w:r>
      <w:r>
        <w:rPr/>
        <w:t>cette</w:t>
      </w:r>
      <w:r>
        <w:rPr>
          <w:spacing w:val="-5"/>
        </w:rPr>
        <w:t> </w:t>
      </w:r>
      <w:r>
        <w:rPr/>
        <w:t>situation</w:t>
      </w:r>
      <w:r>
        <w:rPr>
          <w:spacing w:val="-6"/>
        </w:rPr>
        <w:t> </w:t>
      </w:r>
      <w:r>
        <w:rPr/>
        <w:t>difficile,</w:t>
      </w:r>
      <w:r>
        <w:rPr>
          <w:spacing w:val="-7"/>
        </w:rPr>
        <w:t> </w:t>
      </w:r>
      <w:r>
        <w:rPr/>
        <w:t>le</w:t>
      </w:r>
      <w:r>
        <w:rPr>
          <w:spacing w:val="-8"/>
        </w:rPr>
        <w:t> </w:t>
      </w:r>
      <w:r>
        <w:rPr/>
        <w:t>médecin</w:t>
      </w:r>
      <w:r>
        <w:rPr>
          <w:spacing w:val="-5"/>
        </w:rPr>
        <w:t> </w:t>
      </w:r>
      <w:r>
        <w:rPr/>
        <w:t>se</w:t>
      </w:r>
      <w:r>
        <w:rPr>
          <w:spacing w:val="-9"/>
        </w:rPr>
        <w:t> </w:t>
      </w:r>
      <w:r>
        <w:rPr/>
        <w:t>doit</w:t>
      </w:r>
      <w:r>
        <w:rPr>
          <w:spacing w:val="-5"/>
        </w:rPr>
        <w:t> </w:t>
      </w:r>
      <w:r>
        <w:rPr/>
        <w:t>d'informer,</w:t>
      </w:r>
      <w:r>
        <w:rPr>
          <w:spacing w:val="-7"/>
        </w:rPr>
        <w:t> </w:t>
      </w:r>
      <w:r>
        <w:rPr/>
        <w:t>de</w:t>
      </w:r>
      <w:r>
        <w:rPr>
          <w:spacing w:val="-5"/>
        </w:rPr>
        <w:t> </w:t>
      </w:r>
      <w:r>
        <w:rPr/>
        <w:t>conseiller</w:t>
      </w:r>
      <w:r>
        <w:rPr>
          <w:spacing w:val="-8"/>
        </w:rPr>
        <w:t> </w:t>
      </w:r>
      <w:r>
        <w:rPr/>
        <w:t>et</w:t>
      </w:r>
      <w:r>
        <w:rPr>
          <w:spacing w:val="-5"/>
        </w:rPr>
        <w:t> </w:t>
      </w:r>
      <w:r>
        <w:rPr>
          <w:spacing w:val="-2"/>
        </w:rPr>
        <w:t>d'accompagner.</w:t>
      </w:r>
    </w:p>
    <w:p>
      <w:pPr>
        <w:pStyle w:val="BodyText"/>
        <w:ind w:left="0"/>
        <w:rPr>
          <w:sz w:val="24"/>
        </w:rPr>
      </w:pPr>
    </w:p>
    <w:p>
      <w:pPr>
        <w:pStyle w:val="BodyText"/>
        <w:spacing w:before="5"/>
        <w:ind w:left="0"/>
        <w:rPr>
          <w:sz w:val="28"/>
        </w:rPr>
      </w:pPr>
    </w:p>
    <w:p>
      <w:pPr>
        <w:pStyle w:val="Heading2"/>
        <w:numPr>
          <w:ilvl w:val="2"/>
          <w:numId w:val="1"/>
        </w:numPr>
        <w:tabs>
          <w:tab w:pos="871" w:val="left" w:leader="none"/>
        </w:tabs>
        <w:spacing w:line="240" w:lineRule="auto" w:before="0" w:after="0"/>
        <w:ind w:left="871" w:right="0" w:hanging="398"/>
        <w:jc w:val="left"/>
        <w:rPr>
          <w:i/>
        </w:rPr>
      </w:pPr>
      <w:r>
        <w:rPr>
          <w:i/>
        </w:rPr>
        <w:t>Devoir</w:t>
      </w:r>
      <w:r>
        <w:rPr>
          <w:i/>
          <w:spacing w:val="-8"/>
        </w:rPr>
        <w:t> </w:t>
      </w:r>
      <w:r>
        <w:rPr>
          <w:i/>
        </w:rPr>
        <w:t>d'information</w:t>
      </w:r>
      <w:r>
        <w:rPr>
          <w:i/>
          <w:spacing w:val="-7"/>
        </w:rPr>
        <w:t> </w:t>
      </w:r>
      <w:r>
        <w:rPr>
          <w:i/>
        </w:rPr>
        <w:t>des</w:t>
      </w:r>
      <w:r>
        <w:rPr>
          <w:i/>
          <w:spacing w:val="-8"/>
        </w:rPr>
        <w:t> </w:t>
      </w:r>
      <w:r>
        <w:rPr>
          <w:i/>
          <w:spacing w:val="-2"/>
        </w:rPr>
        <w:t>couples</w:t>
      </w:r>
    </w:p>
    <w:p>
      <w:pPr>
        <w:pStyle w:val="BodyText"/>
        <w:spacing w:before="8"/>
        <w:ind w:left="0"/>
        <w:rPr>
          <w:i/>
          <w:sz w:val="47"/>
        </w:rPr>
      </w:pPr>
    </w:p>
    <w:p>
      <w:pPr>
        <w:pStyle w:val="BodyText"/>
        <w:spacing w:before="1"/>
        <w:ind w:right="101"/>
        <w:jc w:val="both"/>
      </w:pPr>
      <w:r>
        <w:rPr/>
        <w:t>Les couples doivent être pleinement informés par leur médecin des données concernant les risques encourus par l'enfant</w:t>
      </w:r>
      <w:r>
        <w:rPr>
          <w:spacing w:val="80"/>
        </w:rPr>
        <w:t> </w:t>
      </w:r>
      <w:r>
        <w:rPr/>
        <w:t>risque de sa contamination par le virus VIH, toxicité médicamenteuse. Par ailleurs, les mesures de précaution destinées à éviter la transmission de l'infection doivent être rappelées à ces couples, même s'ils ont en général adopté des comportements préventifs appropriés. Enfin, l'attention du couple doit être attirée sur les incertitudes que continuent de faire peser sur l'avenir de la mère l'évolution de la maladie, même</w:t>
      </w:r>
      <w:r>
        <w:rPr>
          <w:spacing w:val="-1"/>
        </w:rPr>
        <w:t> </w:t>
      </w:r>
      <w:r>
        <w:rPr/>
        <w:t>si le</w:t>
      </w:r>
      <w:r>
        <w:rPr>
          <w:spacing w:val="-3"/>
        </w:rPr>
        <w:t> </w:t>
      </w:r>
      <w:r>
        <w:rPr/>
        <w:t>pronostic</w:t>
      </w:r>
      <w:r>
        <w:rPr>
          <w:spacing w:val="-2"/>
        </w:rPr>
        <w:t> </w:t>
      </w:r>
      <w:r>
        <w:rPr/>
        <w:t>à</w:t>
      </w:r>
      <w:r>
        <w:rPr>
          <w:spacing w:val="-1"/>
        </w:rPr>
        <w:t> </w:t>
      </w:r>
      <w:r>
        <w:rPr/>
        <w:t>long</w:t>
      </w:r>
      <w:r>
        <w:rPr>
          <w:spacing w:val="-2"/>
        </w:rPr>
        <w:t> </w:t>
      </w:r>
      <w:r>
        <w:rPr/>
        <w:t>terme</w:t>
      </w:r>
      <w:r>
        <w:rPr>
          <w:spacing w:val="-3"/>
        </w:rPr>
        <w:t> </w:t>
      </w:r>
      <w:r>
        <w:rPr/>
        <w:t>dépend évidemment</w:t>
      </w:r>
      <w:r>
        <w:rPr>
          <w:spacing w:val="-1"/>
        </w:rPr>
        <w:t> </w:t>
      </w:r>
      <w:r>
        <w:rPr/>
        <w:t>des progrès thérapeutiques espérés, mais</w:t>
      </w:r>
      <w:r>
        <w:rPr>
          <w:spacing w:val="-2"/>
        </w:rPr>
        <w:t> </w:t>
      </w:r>
      <w:r>
        <w:rPr/>
        <w:t>non encore</w:t>
      </w:r>
      <w:r>
        <w:rPr>
          <w:spacing w:val="-3"/>
        </w:rPr>
        <w:t> </w:t>
      </w:r>
      <w:r>
        <w:rPr/>
        <w:t>avérés. Quelles</w:t>
      </w:r>
      <w:r>
        <w:rPr>
          <w:spacing w:val="-2"/>
        </w:rPr>
        <w:t> </w:t>
      </w:r>
      <w:r>
        <w:rPr/>
        <w:t>que</w:t>
      </w:r>
      <w:r>
        <w:rPr>
          <w:spacing w:val="-3"/>
        </w:rPr>
        <w:t> </w:t>
      </w:r>
      <w:r>
        <w:rPr/>
        <w:t>soient</w:t>
      </w:r>
      <w:r>
        <w:rPr>
          <w:spacing w:val="-1"/>
        </w:rPr>
        <w:t> </w:t>
      </w:r>
      <w:r>
        <w:rPr/>
        <w:t>les</w:t>
      </w:r>
      <w:r>
        <w:rPr>
          <w:spacing w:val="-3"/>
        </w:rPr>
        <w:t> </w:t>
      </w:r>
      <w:r>
        <w:rPr/>
        <w:t>réserves exprimées à</w:t>
      </w:r>
      <w:r>
        <w:rPr>
          <w:spacing w:val="-1"/>
        </w:rPr>
        <w:t> </w:t>
      </w:r>
      <w:r>
        <w:rPr/>
        <w:t>titre</w:t>
      </w:r>
      <w:r>
        <w:rPr>
          <w:spacing w:val="-3"/>
        </w:rPr>
        <w:t> </w:t>
      </w:r>
      <w:r>
        <w:rPr/>
        <w:t>personnel par</w:t>
      </w:r>
      <w:r>
        <w:rPr>
          <w:spacing w:val="-2"/>
        </w:rPr>
        <w:t> </w:t>
      </w:r>
      <w:r>
        <w:rPr/>
        <w:t>des médecins, qui peuvent préférer ne pas pratiquer un geste risquant d'aboutir à la naissance d'un enfant infecté, le but de cette information, complète, claire et sans concession, doit préserver le libre arbitre du couple en lui permettant de prendre sa décision en toute connaissance de cause.</w:t>
      </w:r>
    </w:p>
    <w:p>
      <w:pPr>
        <w:pStyle w:val="BodyText"/>
        <w:ind w:left="0"/>
        <w:rPr>
          <w:sz w:val="24"/>
        </w:rPr>
      </w:pPr>
    </w:p>
    <w:p>
      <w:pPr>
        <w:pStyle w:val="BodyText"/>
        <w:spacing w:before="4"/>
        <w:ind w:left="0"/>
        <w:rPr>
          <w:sz w:val="28"/>
        </w:rPr>
      </w:pPr>
    </w:p>
    <w:p>
      <w:pPr>
        <w:pStyle w:val="Heading2"/>
        <w:numPr>
          <w:ilvl w:val="2"/>
          <w:numId w:val="1"/>
        </w:numPr>
        <w:tabs>
          <w:tab w:pos="844" w:val="left" w:leader="none"/>
        </w:tabs>
        <w:spacing w:line="240" w:lineRule="auto" w:before="0" w:after="0"/>
        <w:ind w:left="844" w:right="0" w:hanging="371"/>
        <w:jc w:val="left"/>
        <w:rPr>
          <w:i/>
        </w:rPr>
      </w:pPr>
      <w:r>
        <w:rPr>
          <w:i/>
        </w:rPr>
        <w:t>L'accompagnement</w:t>
      </w:r>
      <w:r>
        <w:rPr>
          <w:i/>
          <w:spacing w:val="-8"/>
        </w:rPr>
        <w:t> </w:t>
      </w:r>
      <w:r>
        <w:rPr>
          <w:i/>
        </w:rPr>
        <w:t>par</w:t>
      </w:r>
      <w:r>
        <w:rPr>
          <w:i/>
          <w:spacing w:val="-7"/>
        </w:rPr>
        <w:t> </w:t>
      </w:r>
      <w:r>
        <w:rPr>
          <w:i/>
        </w:rPr>
        <w:t>le</w:t>
      </w:r>
      <w:r>
        <w:rPr>
          <w:i/>
          <w:spacing w:val="-10"/>
        </w:rPr>
        <w:t> </w:t>
      </w:r>
      <w:r>
        <w:rPr>
          <w:i/>
          <w:spacing w:val="-2"/>
        </w:rPr>
        <w:t>médecin</w:t>
      </w:r>
    </w:p>
    <w:p>
      <w:pPr>
        <w:pStyle w:val="BodyText"/>
        <w:spacing w:before="9"/>
        <w:ind w:left="0"/>
        <w:rPr>
          <w:i/>
          <w:sz w:val="47"/>
        </w:rPr>
      </w:pPr>
    </w:p>
    <w:p>
      <w:pPr>
        <w:pStyle w:val="BodyText"/>
        <w:ind w:right="102"/>
        <w:jc w:val="both"/>
      </w:pPr>
      <w:r>
        <w:rPr/>
        <w:t>Si, compte tenu des risques résiduels encourus par l'enfant, et de l'avenir incertain de la mère, un médecin considère de sa responsabilité de ne pas s'impliquer dans l'aide médicale</w:t>
      </w:r>
    </w:p>
    <w:p>
      <w:pPr>
        <w:spacing w:after="0"/>
        <w:jc w:val="both"/>
        <w:sectPr>
          <w:pgSz w:w="11900" w:h="16840"/>
          <w:pgMar w:top="1340" w:bottom="280" w:left="1160" w:right="1160"/>
        </w:sectPr>
      </w:pPr>
    </w:p>
    <w:p>
      <w:pPr>
        <w:pStyle w:val="BodyText"/>
        <w:spacing w:before="81"/>
        <w:ind w:right="105"/>
        <w:jc w:val="both"/>
      </w:pPr>
      <w:r>
        <w:rPr/>
        <w:t>à la procréation de ces couples, il est de son devoir de les orienter vers un autre praticien susceptible de répondre à leur demande.</w:t>
      </w:r>
    </w:p>
    <w:p>
      <w:pPr>
        <w:pStyle w:val="BodyText"/>
        <w:ind w:right="103"/>
        <w:jc w:val="both"/>
      </w:pPr>
      <w:r>
        <w:rPr/>
        <w:t>En tout état de cause, il revient au médecin qui interviendra de tout mettre en œuvre pour minimiser les risques de transmission de l'infection</w:t>
      </w:r>
      <w:r>
        <w:rPr>
          <w:spacing w:val="80"/>
        </w:rPr>
        <w:t> </w:t>
      </w:r>
      <w:r>
        <w:rPr/>
        <w:t>analyse de la charge virale de la mère avant fécondation, éventuellement traitement adapté pour la diminuer autant qu'il est possible. En cas de survenue d'une grossesse, utilisation du traitement antiviral le mieux </w:t>
      </w:r>
      <w:r>
        <w:rPr>
          <w:spacing w:val="-2"/>
        </w:rPr>
        <w:t>adapté.</w:t>
      </w:r>
    </w:p>
    <w:p>
      <w:pPr>
        <w:pStyle w:val="BodyText"/>
        <w:tabs>
          <w:tab w:pos="8117" w:val="left" w:leader="none"/>
        </w:tabs>
        <w:ind w:right="101"/>
        <w:jc w:val="both"/>
      </w:pPr>
      <w:r>
        <w:rPr/>
        <w:t>L'insémination intra-utérine de la femme avec le sperme de son conjoint est une mesure permettant d'éviter l'infection de ce dernier. Certains gynécologues considèrent préférable que cette insémination soit pratiquée par le couple lui-même (auto-insémination), afin de préserver davantage la prise en charge par l'homme et la femme de leur projet parental et leur autonomie. La préférence donnée à cette auto-insémination ne devrait cependant pas être le moyen pour le médecin de se dérober à ses responsabilités et de se protéger sur le </w:t>
      </w:r>
      <w:r>
        <w:rPr>
          <w:spacing w:val="-4"/>
        </w:rPr>
        <w:t>plan</w:t>
      </w:r>
      <w:r>
        <w:rPr/>
        <w:tab/>
      </w:r>
      <w:r>
        <w:rPr>
          <w:spacing w:val="-2"/>
        </w:rPr>
        <w:t>médico-légal.</w:t>
      </w:r>
    </w:p>
    <w:p>
      <w:pPr>
        <w:pStyle w:val="BodyText"/>
        <w:ind w:right="105"/>
        <w:jc w:val="both"/>
      </w:pPr>
      <w:r>
        <w:rPr/>
        <w:t>Les conditions de la prise en charge pluridisciplinaire du couple séro-différent désirant mettre en route une grossesse sont précisées dans l'arrêté du 10 mai 2001, et doivent évidemment être respectées tant à la phase initiale que tout au long de l'évolution de la </w:t>
      </w:r>
      <w:r>
        <w:rPr>
          <w:spacing w:val="-2"/>
        </w:rPr>
        <w:t>grossesse.</w:t>
      </w:r>
    </w:p>
    <w:p>
      <w:pPr>
        <w:pStyle w:val="BodyText"/>
        <w:ind w:left="0"/>
        <w:rPr>
          <w:sz w:val="24"/>
        </w:rPr>
      </w:pPr>
    </w:p>
    <w:p>
      <w:pPr>
        <w:pStyle w:val="BodyText"/>
        <w:spacing w:before="11"/>
        <w:ind w:left="0"/>
        <w:rPr>
          <w:sz w:val="21"/>
        </w:rPr>
      </w:pPr>
    </w:p>
    <w:p>
      <w:pPr>
        <w:pStyle w:val="Heading2"/>
        <w:numPr>
          <w:ilvl w:val="2"/>
          <w:numId w:val="1"/>
        </w:numPr>
        <w:tabs>
          <w:tab w:pos="876" w:val="left" w:leader="none"/>
        </w:tabs>
        <w:spacing w:line="240" w:lineRule="auto" w:before="0" w:after="0"/>
        <w:ind w:left="473" w:right="465" w:firstLine="0"/>
        <w:jc w:val="left"/>
      </w:pPr>
      <w:r>
        <w:rPr>
          <w:i/>
        </w:rPr>
        <w:t>La sensibilisation du corps médical au devoir de formation</w:t>
      </w:r>
      <w:r>
        <w:rPr/>
        <w:t> et d'information.</w:t>
      </w:r>
    </w:p>
    <w:p>
      <w:pPr>
        <w:pStyle w:val="BodyText"/>
        <w:spacing w:before="7"/>
        <w:ind w:left="0"/>
        <w:rPr>
          <w:i/>
          <w:sz w:val="47"/>
        </w:rPr>
      </w:pPr>
    </w:p>
    <w:p>
      <w:pPr>
        <w:pStyle w:val="BodyText"/>
        <w:ind w:right="103"/>
        <w:jc w:val="both"/>
      </w:pPr>
      <w:r>
        <w:rPr/>
        <w:t>Il</w:t>
      </w:r>
      <w:r>
        <w:rPr>
          <w:spacing w:val="28"/>
        </w:rPr>
        <w:t> </w:t>
      </w:r>
      <w:r>
        <w:rPr/>
        <w:t>est de la responsabilité des autorités publiques de sensibiliser à ce devoir d'information</w:t>
      </w:r>
      <w:r>
        <w:rPr>
          <w:spacing w:val="40"/>
        </w:rPr>
        <w:t> </w:t>
      </w:r>
      <w:r>
        <w:rPr/>
        <w:t>les professionnels de santé, mais aussi l'ensemble des acteurs participant à la prise en charge des personnes atteintes par le VIH. Un effort important de formation doit donc être entrepris, portant sur les possibilités et les risques liés à la procréation chez les couples sérodifférents</w:t>
      </w:r>
      <w:r>
        <w:rPr>
          <w:spacing w:val="-3"/>
        </w:rPr>
        <w:t> </w:t>
      </w:r>
      <w:r>
        <w:rPr/>
        <w:t>dont</w:t>
      </w:r>
      <w:r>
        <w:rPr>
          <w:spacing w:val="-3"/>
        </w:rPr>
        <w:t> </w:t>
      </w:r>
      <w:r>
        <w:rPr/>
        <w:t>la</w:t>
      </w:r>
      <w:r>
        <w:rPr>
          <w:spacing w:val="-3"/>
        </w:rPr>
        <w:t> </w:t>
      </w:r>
      <w:r>
        <w:rPr/>
        <w:t>femme</w:t>
      </w:r>
      <w:r>
        <w:rPr>
          <w:spacing w:val="-3"/>
        </w:rPr>
        <w:t> </w:t>
      </w:r>
      <w:r>
        <w:rPr/>
        <w:t>est</w:t>
      </w:r>
      <w:r>
        <w:rPr>
          <w:spacing w:val="-1"/>
        </w:rPr>
        <w:t> </w:t>
      </w:r>
      <w:r>
        <w:rPr/>
        <w:t>séropositive</w:t>
      </w:r>
      <w:r>
        <w:rPr>
          <w:spacing w:val="-6"/>
        </w:rPr>
        <w:t> </w:t>
      </w:r>
      <w:r>
        <w:rPr/>
        <w:t>pour</w:t>
      </w:r>
      <w:r>
        <w:rPr>
          <w:spacing w:val="-2"/>
        </w:rPr>
        <w:t> </w:t>
      </w:r>
      <w:r>
        <w:rPr/>
        <w:t>le</w:t>
      </w:r>
      <w:r>
        <w:rPr>
          <w:spacing w:val="-6"/>
        </w:rPr>
        <w:t> </w:t>
      </w:r>
      <w:r>
        <w:rPr/>
        <w:t>VIH.</w:t>
      </w:r>
      <w:r>
        <w:rPr>
          <w:spacing w:val="-2"/>
        </w:rPr>
        <w:t> </w:t>
      </w:r>
      <w:r>
        <w:rPr/>
        <w:t>Cet</w:t>
      </w:r>
      <w:r>
        <w:rPr>
          <w:spacing w:val="-3"/>
        </w:rPr>
        <w:t> </w:t>
      </w:r>
      <w:r>
        <w:rPr/>
        <w:t>effort</w:t>
      </w:r>
      <w:r>
        <w:rPr>
          <w:spacing w:val="-3"/>
        </w:rPr>
        <w:t> </w:t>
      </w:r>
      <w:r>
        <w:rPr/>
        <w:t>doit</w:t>
      </w:r>
      <w:r>
        <w:rPr>
          <w:spacing w:val="-3"/>
        </w:rPr>
        <w:t> </w:t>
      </w:r>
      <w:r>
        <w:rPr/>
        <w:t>également</w:t>
      </w:r>
      <w:r>
        <w:rPr>
          <w:spacing w:val="-1"/>
        </w:rPr>
        <w:t> </w:t>
      </w:r>
      <w:r>
        <w:rPr/>
        <w:t>viser les équipes des centres d'AMP.</w:t>
      </w:r>
    </w:p>
    <w:p>
      <w:pPr>
        <w:pStyle w:val="BodyText"/>
        <w:ind w:left="0"/>
        <w:rPr>
          <w:sz w:val="24"/>
        </w:rPr>
      </w:pPr>
    </w:p>
    <w:p>
      <w:pPr>
        <w:pStyle w:val="BodyText"/>
        <w:spacing w:before="6"/>
        <w:ind w:left="0"/>
        <w:rPr>
          <w:sz w:val="28"/>
        </w:rPr>
      </w:pPr>
    </w:p>
    <w:p>
      <w:pPr>
        <w:pStyle w:val="Heading2"/>
        <w:numPr>
          <w:ilvl w:val="2"/>
          <w:numId w:val="1"/>
        </w:numPr>
        <w:tabs>
          <w:tab w:pos="1054" w:val="left" w:leader="none"/>
          <w:tab w:pos="1663" w:val="left" w:leader="none"/>
          <w:tab w:pos="2633" w:val="left" w:leader="none"/>
          <w:tab w:pos="3267" w:val="left" w:leader="none"/>
          <w:tab w:pos="4505" w:val="left" w:leader="none"/>
          <w:tab w:pos="5138" w:val="left" w:leader="none"/>
          <w:tab w:pos="6876" w:val="left" w:leader="none"/>
          <w:tab w:pos="8412" w:val="left" w:leader="none"/>
          <w:tab w:pos="8868" w:val="left" w:leader="none"/>
        </w:tabs>
        <w:spacing w:line="240" w:lineRule="auto" w:before="0" w:after="0"/>
        <w:ind w:left="473" w:right="464" w:firstLine="0"/>
        <w:jc w:val="left"/>
      </w:pPr>
      <w:r>
        <w:rPr>
          <w:i/>
          <w:spacing w:val="-6"/>
        </w:rPr>
        <w:t>La</w:t>
      </w:r>
      <w:r>
        <w:rPr>
          <w:i/>
        </w:rPr>
        <w:tab/>
      </w:r>
      <w:r>
        <w:rPr>
          <w:i/>
          <w:spacing w:val="-4"/>
        </w:rPr>
        <w:t>prise</w:t>
      </w:r>
      <w:r>
        <w:rPr>
          <w:i/>
        </w:rPr>
        <w:tab/>
      </w:r>
      <w:r>
        <w:rPr>
          <w:i/>
          <w:spacing w:val="-6"/>
        </w:rPr>
        <w:t>en</w:t>
      </w:r>
      <w:r>
        <w:rPr>
          <w:i/>
        </w:rPr>
        <w:tab/>
      </w:r>
      <w:r>
        <w:rPr>
          <w:i/>
          <w:spacing w:val="-2"/>
        </w:rPr>
        <w:t>charge</w:t>
      </w:r>
      <w:r>
        <w:rPr>
          <w:i/>
        </w:rPr>
        <w:tab/>
      </w:r>
      <w:r>
        <w:rPr>
          <w:i/>
          <w:spacing w:val="-6"/>
        </w:rPr>
        <w:t>en</w:t>
      </w:r>
      <w:r>
        <w:rPr>
          <w:i/>
        </w:rPr>
        <w:tab/>
      </w:r>
      <w:r>
        <w:rPr>
          <w:i/>
          <w:spacing w:val="-2"/>
        </w:rPr>
        <w:t>assistance</w:t>
      </w:r>
      <w:r>
        <w:rPr>
          <w:i/>
        </w:rPr>
        <w:tab/>
      </w:r>
      <w:r>
        <w:rPr>
          <w:i/>
          <w:spacing w:val="-2"/>
        </w:rPr>
        <w:t>médicale</w:t>
      </w:r>
      <w:r>
        <w:rPr>
          <w:i/>
        </w:rPr>
        <w:tab/>
      </w:r>
      <w:r>
        <w:rPr>
          <w:i/>
          <w:spacing w:val="-10"/>
        </w:rPr>
        <w:t>à</w:t>
      </w:r>
      <w:r>
        <w:rPr>
          <w:i/>
        </w:rPr>
        <w:tab/>
      </w:r>
      <w:r>
        <w:rPr>
          <w:i/>
          <w:spacing w:val="-6"/>
        </w:rPr>
        <w:t>la</w:t>
      </w:r>
      <w:r>
        <w:rPr>
          <w:spacing w:val="-6"/>
        </w:rPr>
        <w:t> </w:t>
      </w:r>
      <w:r>
        <w:rPr>
          <w:spacing w:val="-2"/>
        </w:rPr>
        <w:t>procréation.</w:t>
      </w:r>
    </w:p>
    <w:p>
      <w:pPr>
        <w:pStyle w:val="BodyText"/>
        <w:spacing w:before="7"/>
        <w:ind w:left="0"/>
        <w:rPr>
          <w:i/>
          <w:sz w:val="47"/>
        </w:rPr>
      </w:pPr>
    </w:p>
    <w:p>
      <w:pPr>
        <w:pStyle w:val="BodyText"/>
        <w:ind w:right="106"/>
        <w:jc w:val="both"/>
      </w:pPr>
      <w:r>
        <w:rPr/>
        <w:t>L'indication d'une éventuelle AMP se pose surtout après échec d'une auto-insémination ou lorsque</w:t>
      </w:r>
      <w:r>
        <w:rPr>
          <w:spacing w:val="-3"/>
        </w:rPr>
        <w:t> </w:t>
      </w:r>
      <w:r>
        <w:rPr/>
        <w:t>la</w:t>
      </w:r>
      <w:r>
        <w:rPr>
          <w:spacing w:val="-1"/>
        </w:rPr>
        <w:t> </w:t>
      </w:r>
      <w:r>
        <w:rPr/>
        <w:t>séropositivité</w:t>
      </w:r>
      <w:r>
        <w:rPr>
          <w:spacing w:val="-3"/>
        </w:rPr>
        <w:t> </w:t>
      </w:r>
      <w:r>
        <w:rPr/>
        <w:t>est</w:t>
      </w:r>
      <w:r>
        <w:rPr>
          <w:spacing w:val="-1"/>
        </w:rPr>
        <w:t> </w:t>
      </w:r>
      <w:r>
        <w:rPr/>
        <w:t>découverte</w:t>
      </w:r>
      <w:r>
        <w:rPr>
          <w:spacing w:val="-1"/>
        </w:rPr>
        <w:t> </w:t>
      </w:r>
      <w:r>
        <w:rPr/>
        <w:t>à</w:t>
      </w:r>
      <w:r>
        <w:rPr>
          <w:spacing w:val="-1"/>
        </w:rPr>
        <w:t> </w:t>
      </w:r>
      <w:r>
        <w:rPr/>
        <w:t>l'occasion d'une</w:t>
      </w:r>
      <w:r>
        <w:rPr>
          <w:spacing w:val="-1"/>
        </w:rPr>
        <w:t> </w:t>
      </w:r>
      <w:r>
        <w:rPr/>
        <w:t>consultation pour</w:t>
      </w:r>
      <w:r>
        <w:rPr>
          <w:spacing w:val="-2"/>
        </w:rPr>
        <w:t> </w:t>
      </w:r>
      <w:r>
        <w:rPr/>
        <w:t>infertilité</w:t>
      </w:r>
      <w:r>
        <w:rPr>
          <w:spacing w:val="-3"/>
        </w:rPr>
        <w:t> </w:t>
      </w:r>
      <w:r>
        <w:rPr/>
        <w:t>de</w:t>
      </w:r>
      <w:r>
        <w:rPr>
          <w:spacing w:val="-3"/>
        </w:rPr>
        <w:t> </w:t>
      </w:r>
      <w:r>
        <w:rPr/>
        <w:t>l'un ou l'autre membre du couple.</w:t>
      </w:r>
    </w:p>
    <w:p>
      <w:pPr>
        <w:pStyle w:val="BodyText"/>
        <w:ind w:right="102"/>
        <w:jc w:val="both"/>
      </w:pPr>
      <w:r>
        <w:rPr/>
        <w:t>L'arrêté du 10 mai 2001 a délimité les règles encadrant la pratique d'AMP en faveur des couples dont la femme est séropositive pour le VIH. Il précise notamment que les critères cliniques, immunologiques et virologiques d'admission à l'AMP établis pour les couples sérodifférents dont l'homme est séropositif pour le VIH s'appliquent également aux couples dont la femme est séropositive pour ce virus. Il importe de souligner ici que les critères établissant les seuils d'accès à l'AMP devront être révisés en fonction des progrès des connaissances sur la transmission du VIH à l'enfant, et sur les paramètres médicaux de progression de l'infection à VIH.</w:t>
      </w:r>
    </w:p>
    <w:p>
      <w:pPr>
        <w:pStyle w:val="BodyText"/>
        <w:ind w:right="102"/>
        <w:jc w:val="both"/>
      </w:pPr>
      <w:r>
        <w:rPr/>
        <w:t>Ainsi que le CCNE l'avait indiqué dans son avis du 19 avril 2001 relatif aux couples sérodifférents dont l'homme est séropositif pour le VIH, la prise en charge doit être " véritablement pluridisciplinaire par une équipe où le gynécologue-obstétricien et le</w:t>
      </w:r>
      <w:r>
        <w:rPr>
          <w:spacing w:val="40"/>
        </w:rPr>
        <w:t> </w:t>
      </w:r>
      <w:r>
        <w:rPr/>
        <w:t>biologiste spécialistes d'AMP devraient s'entourer d'un clinicien spécialiste du VIH, d'un virologue et d'un psychologue ou d'un psychiatre ".</w:t>
      </w:r>
    </w:p>
    <w:p>
      <w:pPr>
        <w:pStyle w:val="BodyText"/>
        <w:ind w:right="103"/>
        <w:jc w:val="both"/>
      </w:pPr>
      <w:r>
        <w:rPr/>
        <w:t>Un suivi régulier et rigoureux, à court et à long terme, des enfants nés de mère séropositives est indispensable. Il convient que les centres s'engagent à proposer à ces mères une participation à une étude épidémiologique du type cohorte.</w:t>
      </w:r>
    </w:p>
    <w:p>
      <w:pPr>
        <w:spacing w:after="0"/>
        <w:jc w:val="both"/>
        <w:sectPr>
          <w:pgSz w:w="11900" w:h="16840"/>
          <w:pgMar w:top="1340" w:bottom="280" w:left="1160" w:right="1160"/>
        </w:sectPr>
      </w:pPr>
    </w:p>
    <w:p>
      <w:pPr>
        <w:pStyle w:val="BodyText"/>
        <w:spacing w:before="81"/>
        <w:ind w:right="105"/>
        <w:jc w:val="both"/>
      </w:pPr>
      <w:r>
        <w:rPr/>
        <w:t>Il est nécessaire de rappeler que la décision de prise en charge en AMP de ces couples implique un partage des responsabilités entre l'équipe pluridisciplinaire et le couple, sur la base</w:t>
      </w:r>
      <w:r>
        <w:rPr>
          <w:spacing w:val="-1"/>
        </w:rPr>
        <w:t> </w:t>
      </w:r>
      <w:r>
        <w:rPr/>
        <w:t>d'une</w:t>
      </w:r>
      <w:r>
        <w:rPr>
          <w:spacing w:val="-1"/>
        </w:rPr>
        <w:t> </w:t>
      </w:r>
      <w:r>
        <w:rPr/>
        <w:t>information claire</w:t>
      </w:r>
      <w:r>
        <w:rPr>
          <w:spacing w:val="-1"/>
        </w:rPr>
        <w:t> </w:t>
      </w:r>
      <w:r>
        <w:rPr/>
        <w:t>et complète quant aux risques encourus et quant aux critères, notamment virologiques, ayant présidé à la décision de cette prise en charge.</w:t>
      </w:r>
    </w:p>
    <w:p>
      <w:pPr>
        <w:pStyle w:val="BodyText"/>
        <w:spacing w:before="6"/>
        <w:ind w:left="0"/>
        <w:rPr>
          <w:sz w:val="27"/>
        </w:rPr>
      </w:pPr>
    </w:p>
    <w:p>
      <w:pPr>
        <w:pStyle w:val="Heading1"/>
        <w:numPr>
          <w:ilvl w:val="1"/>
          <w:numId w:val="1"/>
        </w:numPr>
        <w:tabs>
          <w:tab w:pos="572" w:val="left" w:leader="none"/>
        </w:tabs>
        <w:spacing w:line="240" w:lineRule="auto" w:before="0" w:after="0"/>
        <w:ind w:left="113" w:right="103" w:firstLine="0"/>
        <w:jc w:val="left"/>
      </w:pPr>
      <w:r>
        <w:rPr/>
        <w:t>La prise en charge en AMP des couples dont l'homme et la femme sont séropositifs pour le VIH.</w:t>
      </w:r>
    </w:p>
    <w:p>
      <w:pPr>
        <w:pStyle w:val="BodyText"/>
        <w:spacing w:before="4"/>
        <w:ind w:left="0"/>
        <w:rPr>
          <w:b/>
          <w:sz w:val="27"/>
        </w:rPr>
      </w:pPr>
    </w:p>
    <w:p>
      <w:pPr>
        <w:pStyle w:val="Heading2"/>
        <w:numPr>
          <w:ilvl w:val="2"/>
          <w:numId w:val="1"/>
        </w:numPr>
        <w:tabs>
          <w:tab w:pos="865" w:val="left" w:leader="none"/>
        </w:tabs>
        <w:spacing w:line="240" w:lineRule="auto" w:before="0" w:after="0"/>
        <w:ind w:left="865" w:right="0" w:hanging="392"/>
        <w:jc w:val="left"/>
        <w:rPr>
          <w:i/>
        </w:rPr>
      </w:pPr>
      <w:r>
        <w:rPr>
          <w:i/>
        </w:rPr>
        <w:t>ReconnaÎtre</w:t>
      </w:r>
      <w:r>
        <w:rPr>
          <w:i/>
          <w:spacing w:val="-11"/>
        </w:rPr>
        <w:t> </w:t>
      </w:r>
      <w:r>
        <w:rPr>
          <w:i/>
        </w:rPr>
        <w:t>la</w:t>
      </w:r>
      <w:r>
        <w:rPr>
          <w:i/>
          <w:spacing w:val="-11"/>
        </w:rPr>
        <w:t> </w:t>
      </w:r>
      <w:r>
        <w:rPr>
          <w:i/>
        </w:rPr>
        <w:t>possibilité</w:t>
      </w:r>
      <w:r>
        <w:rPr>
          <w:i/>
          <w:spacing w:val="-11"/>
        </w:rPr>
        <w:t> </w:t>
      </w:r>
      <w:r>
        <w:rPr>
          <w:i/>
        </w:rPr>
        <w:t>d'une</w:t>
      </w:r>
      <w:r>
        <w:rPr>
          <w:i/>
          <w:spacing w:val="-10"/>
        </w:rPr>
        <w:t> </w:t>
      </w:r>
      <w:r>
        <w:rPr>
          <w:i/>
        </w:rPr>
        <w:t>prise</w:t>
      </w:r>
      <w:r>
        <w:rPr>
          <w:i/>
          <w:spacing w:val="-14"/>
        </w:rPr>
        <w:t> </w:t>
      </w:r>
      <w:r>
        <w:rPr>
          <w:i/>
        </w:rPr>
        <w:t>en</w:t>
      </w:r>
      <w:r>
        <w:rPr>
          <w:i/>
          <w:spacing w:val="-10"/>
        </w:rPr>
        <w:t> </w:t>
      </w:r>
      <w:r>
        <w:rPr>
          <w:i/>
        </w:rPr>
        <w:t>charge</w:t>
      </w:r>
      <w:r>
        <w:rPr>
          <w:i/>
          <w:spacing w:val="-14"/>
        </w:rPr>
        <w:t> </w:t>
      </w:r>
      <w:r>
        <w:rPr>
          <w:i/>
        </w:rPr>
        <w:t>en</w:t>
      </w:r>
      <w:r>
        <w:rPr>
          <w:i/>
          <w:spacing w:val="-10"/>
        </w:rPr>
        <w:t> </w:t>
      </w:r>
      <w:r>
        <w:rPr>
          <w:i/>
          <w:spacing w:val="-5"/>
        </w:rPr>
        <w:t>AMP</w:t>
      </w:r>
    </w:p>
    <w:p>
      <w:pPr>
        <w:pStyle w:val="BodyText"/>
        <w:spacing w:before="7"/>
        <w:ind w:left="0"/>
        <w:rPr>
          <w:i/>
          <w:sz w:val="47"/>
        </w:rPr>
      </w:pPr>
    </w:p>
    <w:p>
      <w:pPr>
        <w:pStyle w:val="BodyText"/>
        <w:ind w:right="104"/>
        <w:jc w:val="both"/>
      </w:pPr>
      <w:r>
        <w:rPr/>
        <w:t>Les couples dont les deux membres sont séropositifs pour le VIH peuvent souhaiter, indépendamment de leur fertilité, une prise en charge en AMP afin de réduire le risque de contamination croisée au sein du couple. Sur le plan technique, la prise en charge en AMP</w:t>
      </w:r>
      <w:r>
        <w:rPr>
          <w:spacing w:val="40"/>
        </w:rPr>
        <w:t> </w:t>
      </w:r>
      <w:r>
        <w:rPr/>
        <w:t>de ces couples s'apparente à celle des couples sérodifférents dont l'homme est séropositif,</w:t>
      </w:r>
      <w:r>
        <w:rPr>
          <w:spacing w:val="40"/>
        </w:rPr>
        <w:t> </w:t>
      </w:r>
      <w:r>
        <w:rPr/>
        <w:t>le</w:t>
      </w:r>
      <w:r>
        <w:rPr>
          <w:spacing w:val="74"/>
          <w:w w:val="150"/>
        </w:rPr>
        <w:t> </w:t>
      </w:r>
      <w:r>
        <w:rPr/>
        <w:t>recours</w:t>
      </w:r>
      <w:r>
        <w:rPr>
          <w:spacing w:val="76"/>
          <w:w w:val="150"/>
        </w:rPr>
        <w:t> </w:t>
      </w:r>
      <w:r>
        <w:rPr/>
        <w:t>aux</w:t>
      </w:r>
      <w:r>
        <w:rPr>
          <w:spacing w:val="79"/>
          <w:w w:val="150"/>
        </w:rPr>
        <w:t> </w:t>
      </w:r>
      <w:r>
        <w:rPr/>
        <w:t>activités</w:t>
      </w:r>
      <w:r>
        <w:rPr>
          <w:spacing w:val="76"/>
          <w:w w:val="150"/>
        </w:rPr>
        <w:t> </w:t>
      </w:r>
      <w:r>
        <w:rPr/>
        <w:t>d'AMP</w:t>
      </w:r>
      <w:r>
        <w:rPr>
          <w:spacing w:val="76"/>
          <w:w w:val="150"/>
        </w:rPr>
        <w:t> </w:t>
      </w:r>
      <w:r>
        <w:rPr/>
        <w:t>telles</w:t>
      </w:r>
      <w:r>
        <w:rPr>
          <w:spacing w:val="76"/>
          <w:w w:val="150"/>
        </w:rPr>
        <w:t> </w:t>
      </w:r>
      <w:r>
        <w:rPr/>
        <w:t>que</w:t>
      </w:r>
      <w:r>
        <w:rPr>
          <w:spacing w:val="75"/>
          <w:w w:val="150"/>
        </w:rPr>
        <w:t> </w:t>
      </w:r>
      <w:r>
        <w:rPr/>
        <w:t>la</w:t>
      </w:r>
      <w:r>
        <w:rPr>
          <w:spacing w:val="78"/>
          <w:w w:val="150"/>
        </w:rPr>
        <w:t> </w:t>
      </w:r>
      <w:r>
        <w:rPr/>
        <w:t>FIV</w:t>
      </w:r>
      <w:r>
        <w:rPr>
          <w:spacing w:val="23"/>
        </w:rPr>
        <w:t>  </w:t>
      </w:r>
      <w:r>
        <w:rPr/>
        <w:t>ou</w:t>
      </w:r>
      <w:r>
        <w:rPr>
          <w:spacing w:val="23"/>
        </w:rPr>
        <w:t>  </w:t>
      </w:r>
      <w:r>
        <w:rPr/>
        <w:t>l'ICSI</w:t>
      </w:r>
      <w:r>
        <w:rPr>
          <w:spacing w:val="78"/>
          <w:w w:val="150"/>
        </w:rPr>
        <w:t> </w:t>
      </w:r>
      <w:r>
        <w:rPr/>
        <w:t>pouvant</w:t>
      </w:r>
      <w:r>
        <w:rPr>
          <w:spacing w:val="22"/>
        </w:rPr>
        <w:t>  </w:t>
      </w:r>
      <w:r>
        <w:rPr/>
        <w:t>être</w:t>
      </w:r>
      <w:r>
        <w:rPr>
          <w:spacing w:val="22"/>
        </w:rPr>
        <w:t>  </w:t>
      </w:r>
      <w:r>
        <w:rPr>
          <w:spacing w:val="-2"/>
        </w:rPr>
        <w:t>justifié.</w:t>
      </w:r>
    </w:p>
    <w:p>
      <w:pPr>
        <w:pStyle w:val="BodyText"/>
        <w:ind w:left="0"/>
      </w:pPr>
    </w:p>
    <w:p>
      <w:pPr>
        <w:pStyle w:val="BodyText"/>
        <w:spacing w:before="1"/>
        <w:ind w:right="103"/>
        <w:jc w:val="both"/>
      </w:pPr>
      <w:r>
        <w:rPr/>
        <w:t>Il serait souhaitable que l'arrêté du 10 mai 2001 fût complété de manière à ce que les couples dont les deux membres sont séropositifs pour le VIH puissent être éventuellement pris en charge en AMP.</w:t>
      </w:r>
    </w:p>
    <w:p>
      <w:pPr>
        <w:pStyle w:val="BodyText"/>
        <w:ind w:left="0"/>
        <w:rPr>
          <w:sz w:val="24"/>
        </w:rPr>
      </w:pPr>
    </w:p>
    <w:p>
      <w:pPr>
        <w:pStyle w:val="BodyText"/>
        <w:spacing w:before="5"/>
        <w:ind w:left="0"/>
        <w:rPr>
          <w:sz w:val="28"/>
        </w:rPr>
      </w:pPr>
    </w:p>
    <w:p>
      <w:pPr>
        <w:pStyle w:val="Heading2"/>
        <w:numPr>
          <w:ilvl w:val="2"/>
          <w:numId w:val="1"/>
        </w:numPr>
        <w:tabs>
          <w:tab w:pos="871" w:val="left" w:leader="none"/>
        </w:tabs>
        <w:spacing w:line="240" w:lineRule="auto" w:before="0" w:after="0"/>
        <w:ind w:left="871" w:right="0" w:hanging="398"/>
        <w:jc w:val="left"/>
        <w:rPr>
          <w:i/>
        </w:rPr>
      </w:pPr>
      <w:r>
        <w:rPr>
          <w:i/>
        </w:rPr>
        <w:t>Etablir</w:t>
      </w:r>
      <w:r>
        <w:rPr>
          <w:i/>
          <w:spacing w:val="-5"/>
        </w:rPr>
        <w:t> </w:t>
      </w:r>
      <w:r>
        <w:rPr>
          <w:i/>
        </w:rPr>
        <w:t>les</w:t>
      </w:r>
      <w:r>
        <w:rPr>
          <w:i/>
          <w:spacing w:val="-5"/>
        </w:rPr>
        <w:t> </w:t>
      </w:r>
      <w:r>
        <w:rPr>
          <w:i/>
        </w:rPr>
        <w:t>critères</w:t>
      </w:r>
      <w:r>
        <w:rPr>
          <w:i/>
          <w:spacing w:val="-7"/>
        </w:rPr>
        <w:t> </w:t>
      </w:r>
      <w:r>
        <w:rPr>
          <w:i/>
        </w:rPr>
        <w:t>d'accès</w:t>
      </w:r>
      <w:r>
        <w:rPr>
          <w:i/>
          <w:spacing w:val="-6"/>
        </w:rPr>
        <w:t> </w:t>
      </w:r>
      <w:r>
        <w:rPr>
          <w:i/>
        </w:rPr>
        <w:t>à</w:t>
      </w:r>
      <w:r>
        <w:rPr>
          <w:i/>
          <w:spacing w:val="-4"/>
        </w:rPr>
        <w:t> </w:t>
      </w:r>
      <w:r>
        <w:rPr>
          <w:i/>
          <w:spacing w:val="-2"/>
        </w:rPr>
        <w:t>l'AMP</w:t>
      </w:r>
    </w:p>
    <w:p>
      <w:pPr>
        <w:pStyle w:val="BodyText"/>
        <w:spacing w:before="9"/>
        <w:ind w:left="0"/>
        <w:rPr>
          <w:i/>
          <w:sz w:val="47"/>
        </w:rPr>
      </w:pPr>
    </w:p>
    <w:p>
      <w:pPr>
        <w:pStyle w:val="BodyText"/>
        <w:ind w:right="105"/>
        <w:jc w:val="both"/>
      </w:pPr>
      <w:r>
        <w:rPr/>
        <w:t>Sur le plan éthique, la plupart des principes évoqués dans la partie précédente demeurent valables pour ces couples</w:t>
      </w:r>
      <w:r>
        <w:rPr/>
        <w:t> </w:t>
      </w:r>
    </w:p>
    <w:p>
      <w:pPr>
        <w:pStyle w:val="ListParagraph"/>
        <w:numPr>
          <w:ilvl w:val="3"/>
          <w:numId w:val="1"/>
        </w:numPr>
        <w:tabs>
          <w:tab w:pos="693" w:val="left" w:leader="none"/>
        </w:tabs>
        <w:spacing w:line="240" w:lineRule="auto" w:before="98" w:after="0"/>
        <w:ind w:left="473" w:right="464" w:firstLine="0"/>
        <w:jc w:val="both"/>
        <w:rPr>
          <w:sz w:val="24"/>
        </w:rPr>
      </w:pPr>
      <w:r>
        <w:rPr>
          <w:sz w:val="24"/>
        </w:rPr>
        <w:t>devoir pour l'équipe médicale d'informer les parents de l'incertitude de</w:t>
      </w:r>
      <w:r>
        <w:rPr>
          <w:spacing w:val="-4"/>
          <w:sz w:val="24"/>
        </w:rPr>
        <w:t> </w:t>
      </w:r>
      <w:r>
        <w:rPr>
          <w:sz w:val="24"/>
        </w:rPr>
        <w:t>leur</w:t>
      </w:r>
      <w:r>
        <w:rPr>
          <w:spacing w:val="-1"/>
          <w:sz w:val="24"/>
        </w:rPr>
        <w:t> </w:t>
      </w:r>
      <w:r>
        <w:rPr>
          <w:sz w:val="24"/>
        </w:rPr>
        <w:t>pronostic</w:t>
      </w:r>
      <w:r>
        <w:rPr>
          <w:spacing w:val="-3"/>
          <w:sz w:val="24"/>
        </w:rPr>
        <w:t> </w:t>
      </w:r>
      <w:r>
        <w:rPr>
          <w:sz w:val="24"/>
        </w:rPr>
        <w:t>à long</w:t>
      </w:r>
      <w:r>
        <w:rPr>
          <w:spacing w:val="-2"/>
          <w:sz w:val="24"/>
        </w:rPr>
        <w:t> </w:t>
      </w:r>
      <w:r>
        <w:rPr>
          <w:sz w:val="24"/>
        </w:rPr>
        <w:t>terme,</w:t>
      </w:r>
      <w:r>
        <w:rPr>
          <w:spacing w:val="-3"/>
          <w:sz w:val="24"/>
        </w:rPr>
        <w:t> </w:t>
      </w:r>
      <w:r>
        <w:rPr>
          <w:sz w:val="24"/>
        </w:rPr>
        <w:t>dans</w:t>
      </w:r>
      <w:r>
        <w:rPr>
          <w:spacing w:val="-1"/>
          <w:sz w:val="24"/>
        </w:rPr>
        <w:t> </w:t>
      </w:r>
      <w:r>
        <w:rPr>
          <w:sz w:val="24"/>
        </w:rPr>
        <w:t>l'état</w:t>
      </w:r>
      <w:r>
        <w:rPr>
          <w:spacing w:val="-3"/>
          <w:sz w:val="24"/>
        </w:rPr>
        <w:t> </w:t>
      </w:r>
      <w:r>
        <w:rPr>
          <w:sz w:val="24"/>
        </w:rPr>
        <w:t>actuel des</w:t>
      </w:r>
      <w:r>
        <w:rPr>
          <w:spacing w:val="-3"/>
          <w:sz w:val="24"/>
        </w:rPr>
        <w:t> </w:t>
      </w:r>
      <w:r>
        <w:rPr>
          <w:sz w:val="24"/>
        </w:rPr>
        <w:t>connaissances,</w:t>
      </w:r>
      <w:r>
        <w:rPr>
          <w:spacing w:val="-3"/>
          <w:sz w:val="24"/>
        </w:rPr>
        <w:t> </w:t>
      </w:r>
      <w:r>
        <w:rPr>
          <w:sz w:val="24"/>
        </w:rPr>
        <w:t>et des risques encourus par l'enfant</w:t>
      </w:r>
      <w:r>
        <w:rPr>
          <w:sz w:val="24"/>
        </w:rPr>
        <w:t> </w:t>
      </w:r>
    </w:p>
    <w:p>
      <w:pPr>
        <w:pStyle w:val="ListParagraph"/>
        <w:numPr>
          <w:ilvl w:val="3"/>
          <w:numId w:val="1"/>
        </w:numPr>
        <w:tabs>
          <w:tab w:pos="686" w:val="left" w:leader="none"/>
        </w:tabs>
        <w:spacing w:line="240" w:lineRule="auto" w:before="200" w:after="0"/>
        <w:ind w:left="473" w:right="466" w:firstLine="0"/>
        <w:jc w:val="both"/>
        <w:rPr>
          <w:sz w:val="24"/>
        </w:rPr>
      </w:pPr>
      <w:r>
        <w:rPr>
          <w:sz w:val="24"/>
        </w:rPr>
        <w:t>importance fondamentale de la rigueur des paramètres viraux et de l'évaluation de l'état de santé des parents</w:t>
      </w:r>
      <w:r>
        <w:rPr>
          <w:sz w:val="24"/>
        </w:rPr>
        <w:t> </w:t>
      </w:r>
    </w:p>
    <w:p>
      <w:pPr>
        <w:pStyle w:val="ListParagraph"/>
        <w:numPr>
          <w:ilvl w:val="3"/>
          <w:numId w:val="1"/>
        </w:numPr>
        <w:tabs>
          <w:tab w:pos="664" w:val="left" w:leader="none"/>
        </w:tabs>
        <w:spacing w:line="240" w:lineRule="auto" w:before="199" w:after="0"/>
        <w:ind w:left="473" w:right="466" w:firstLine="0"/>
        <w:jc w:val="both"/>
        <w:rPr>
          <w:sz w:val="24"/>
        </w:rPr>
      </w:pPr>
      <w:r>
        <w:rPr>
          <w:sz w:val="24"/>
        </w:rPr>
        <w:t>possibilité</w:t>
      </w:r>
      <w:r>
        <w:rPr>
          <w:spacing w:val="-4"/>
          <w:sz w:val="24"/>
        </w:rPr>
        <w:t> </w:t>
      </w:r>
      <w:r>
        <w:rPr>
          <w:sz w:val="24"/>
        </w:rPr>
        <w:t>pour</w:t>
      </w:r>
      <w:r>
        <w:rPr>
          <w:spacing w:val="-1"/>
          <w:sz w:val="24"/>
        </w:rPr>
        <w:t> </w:t>
      </w:r>
      <w:r>
        <w:rPr>
          <w:sz w:val="24"/>
        </w:rPr>
        <w:t>l'équipe,</w:t>
      </w:r>
      <w:r>
        <w:rPr>
          <w:spacing w:val="-3"/>
          <w:sz w:val="24"/>
        </w:rPr>
        <w:t> </w:t>
      </w:r>
      <w:r>
        <w:rPr>
          <w:sz w:val="24"/>
        </w:rPr>
        <w:t>de</w:t>
      </w:r>
      <w:r>
        <w:rPr>
          <w:spacing w:val="-4"/>
          <w:sz w:val="24"/>
        </w:rPr>
        <w:t> </w:t>
      </w:r>
      <w:r>
        <w:rPr>
          <w:sz w:val="24"/>
        </w:rPr>
        <w:t>refuser</w:t>
      </w:r>
      <w:r>
        <w:rPr>
          <w:spacing w:val="-1"/>
          <w:sz w:val="24"/>
        </w:rPr>
        <w:t> </w:t>
      </w:r>
      <w:r>
        <w:rPr>
          <w:sz w:val="24"/>
        </w:rPr>
        <w:t>la</w:t>
      </w:r>
      <w:r>
        <w:rPr>
          <w:spacing w:val="-2"/>
          <w:sz w:val="24"/>
        </w:rPr>
        <w:t> </w:t>
      </w:r>
      <w:r>
        <w:rPr>
          <w:sz w:val="24"/>
        </w:rPr>
        <w:t>prise</w:t>
      </w:r>
      <w:r>
        <w:rPr>
          <w:spacing w:val="-2"/>
          <w:sz w:val="24"/>
        </w:rPr>
        <w:t> </w:t>
      </w:r>
      <w:r>
        <w:rPr>
          <w:sz w:val="24"/>
        </w:rPr>
        <w:t>en</w:t>
      </w:r>
      <w:r>
        <w:rPr>
          <w:spacing w:val="-3"/>
          <w:sz w:val="24"/>
        </w:rPr>
        <w:t> </w:t>
      </w:r>
      <w:r>
        <w:rPr>
          <w:sz w:val="24"/>
        </w:rPr>
        <w:t>charge,</w:t>
      </w:r>
      <w:r>
        <w:rPr>
          <w:spacing w:val="-3"/>
          <w:sz w:val="24"/>
        </w:rPr>
        <w:t> </w:t>
      </w:r>
      <w:r>
        <w:rPr>
          <w:sz w:val="24"/>
        </w:rPr>
        <w:t>en</w:t>
      </w:r>
      <w:r>
        <w:rPr>
          <w:spacing w:val="-3"/>
          <w:sz w:val="24"/>
        </w:rPr>
        <w:t> </w:t>
      </w:r>
      <w:r>
        <w:rPr>
          <w:sz w:val="24"/>
        </w:rPr>
        <w:t>orientant le couple vers une autre équipe.</w:t>
      </w:r>
    </w:p>
    <w:p>
      <w:pPr>
        <w:pStyle w:val="BodyText"/>
        <w:spacing w:before="4"/>
        <w:ind w:left="0"/>
        <w:rPr>
          <w:sz w:val="28"/>
        </w:rPr>
      </w:pPr>
    </w:p>
    <w:p>
      <w:pPr>
        <w:pStyle w:val="BodyText"/>
        <w:spacing w:before="1"/>
        <w:ind w:right="103"/>
        <w:jc w:val="both"/>
      </w:pPr>
      <w:r>
        <w:rPr/>
        <w:t>Le CCNE considère que le respect de ces principes est d'autant plus important que l'accès à l'AMP des couples dont les deux membres sont séropositifs pour le VIH pose de manière encore plus aiguë et délicate la question du pronostic des futurs parents, et par conséquent du risque que cet enfant puisse se retrouver, encore jeune, dans une situation dramatique, entre un père et une mère gravement atteints, voire orphelin.</w:t>
      </w:r>
    </w:p>
    <w:p>
      <w:pPr>
        <w:pStyle w:val="BodyText"/>
        <w:spacing w:before="7"/>
        <w:ind w:left="0"/>
        <w:rPr>
          <w:sz w:val="27"/>
        </w:rPr>
      </w:pPr>
    </w:p>
    <w:p>
      <w:pPr>
        <w:pStyle w:val="Heading1"/>
        <w:numPr>
          <w:ilvl w:val="1"/>
          <w:numId w:val="1"/>
        </w:numPr>
        <w:tabs>
          <w:tab w:pos="624" w:val="left" w:leader="none"/>
        </w:tabs>
        <w:spacing w:line="240" w:lineRule="auto" w:before="1" w:after="0"/>
        <w:ind w:left="113" w:right="103" w:firstLine="0"/>
        <w:jc w:val="left"/>
      </w:pPr>
      <w:r>
        <w:rPr/>
        <w:t>La</w:t>
      </w:r>
      <w:r>
        <w:rPr>
          <w:spacing w:val="40"/>
        </w:rPr>
        <w:t> </w:t>
      </w:r>
      <w:r>
        <w:rPr/>
        <w:t>prise</w:t>
      </w:r>
      <w:r>
        <w:rPr>
          <w:spacing w:val="40"/>
        </w:rPr>
        <w:t> </w:t>
      </w:r>
      <w:r>
        <w:rPr/>
        <w:t>en</w:t>
      </w:r>
      <w:r>
        <w:rPr>
          <w:spacing w:val="40"/>
        </w:rPr>
        <w:t> </w:t>
      </w:r>
      <w:r>
        <w:rPr/>
        <w:t>charge</w:t>
      </w:r>
      <w:r>
        <w:rPr>
          <w:spacing w:val="40"/>
        </w:rPr>
        <w:t> </w:t>
      </w:r>
      <w:r>
        <w:rPr/>
        <w:t>des</w:t>
      </w:r>
      <w:r>
        <w:rPr>
          <w:spacing w:val="40"/>
        </w:rPr>
        <w:t> </w:t>
      </w:r>
      <w:r>
        <w:rPr/>
        <w:t>couples</w:t>
      </w:r>
      <w:r>
        <w:rPr>
          <w:spacing w:val="40"/>
        </w:rPr>
        <w:t> </w:t>
      </w:r>
      <w:r>
        <w:rPr/>
        <w:t>dont</w:t>
      </w:r>
      <w:r>
        <w:rPr>
          <w:spacing w:val="40"/>
        </w:rPr>
        <w:t> </w:t>
      </w:r>
      <w:r>
        <w:rPr/>
        <w:t>l'un</w:t>
      </w:r>
      <w:r>
        <w:rPr>
          <w:spacing w:val="40"/>
        </w:rPr>
        <w:t> </w:t>
      </w:r>
      <w:r>
        <w:rPr/>
        <w:t>ou</w:t>
      </w:r>
      <w:r>
        <w:rPr>
          <w:spacing w:val="40"/>
        </w:rPr>
        <w:t> </w:t>
      </w:r>
      <w:r>
        <w:rPr/>
        <w:t>les</w:t>
      </w:r>
      <w:r>
        <w:rPr>
          <w:spacing w:val="40"/>
        </w:rPr>
        <w:t> </w:t>
      </w:r>
      <w:r>
        <w:rPr/>
        <w:t>deux membres présentent plusieurs risques viraux</w:t>
      </w:r>
    </w:p>
    <w:p>
      <w:pPr>
        <w:pStyle w:val="BodyText"/>
        <w:spacing w:before="235"/>
        <w:ind w:right="98"/>
        <w:jc w:val="both"/>
      </w:pPr>
      <w:r>
        <w:rPr/>
        <w:t>Le CCNE attire l'attention des pouvoirs publics sur le fait que l'arrêté du 10 mai 2001 n'évoque pas les problèmes posés par la prise en charge des couples dont l'un ou les deux membres présentent plusieurs risques viraux, par exemple en cas de co-infection par le VIH et le VHC et/ou le VHB. Ces problèmes concernent notamment les critères médicaux d'admission à l'AMP, la toxicité connue de certains traitements et leur interaction</w:t>
      </w:r>
      <w:r>
        <w:rPr>
          <w:spacing w:val="80"/>
          <w:w w:val="150"/>
        </w:rPr>
        <w:t> </w:t>
      </w:r>
      <w:r>
        <w:rPr/>
        <w:t>ils rendent considérablement plus complexe, à la fois la délivrance d'une information complète</w:t>
      </w:r>
    </w:p>
    <w:p>
      <w:pPr>
        <w:spacing w:after="0"/>
        <w:jc w:val="both"/>
        <w:sectPr>
          <w:pgSz w:w="11900" w:h="16840"/>
          <w:pgMar w:top="1340" w:bottom="280" w:left="1160" w:right="1160"/>
        </w:sectPr>
      </w:pPr>
    </w:p>
    <w:p>
      <w:pPr>
        <w:pStyle w:val="BodyText"/>
        <w:spacing w:before="81"/>
        <w:ind w:right="102"/>
        <w:jc w:val="both"/>
      </w:pPr>
      <w:r>
        <w:rPr/>
        <w:t>et claire, et le choix des équipes médicales et des couples. L'existence de traitements tératogènes (en particulier dans le cas du traitement de l'hépatite C) doit rendre particulièrement vigilant dans l'abord de ces couples. La transmission sexuelle du VHC reste rare.</w:t>
      </w:r>
      <w:r>
        <w:rPr>
          <w:spacing w:val="-1"/>
        </w:rPr>
        <w:t> </w:t>
      </w:r>
      <w:r>
        <w:rPr/>
        <w:t>Le</w:t>
      </w:r>
      <w:r>
        <w:rPr>
          <w:spacing w:val="-2"/>
        </w:rPr>
        <w:t> </w:t>
      </w:r>
      <w:r>
        <w:rPr/>
        <w:t>risque</w:t>
      </w:r>
      <w:r>
        <w:rPr>
          <w:spacing w:val="-5"/>
        </w:rPr>
        <w:t> </w:t>
      </w:r>
      <w:r>
        <w:rPr/>
        <w:t>de</w:t>
      </w:r>
      <w:r>
        <w:rPr>
          <w:spacing w:val="-2"/>
        </w:rPr>
        <w:t> </w:t>
      </w:r>
      <w:r>
        <w:rPr/>
        <w:t>transmission à l'enfant de</w:t>
      </w:r>
      <w:r>
        <w:rPr>
          <w:spacing w:val="-2"/>
        </w:rPr>
        <w:t> </w:t>
      </w:r>
      <w:r>
        <w:rPr/>
        <w:t>l'hépatite</w:t>
      </w:r>
      <w:r>
        <w:rPr>
          <w:spacing w:val="-2"/>
        </w:rPr>
        <w:t> </w:t>
      </w:r>
      <w:r>
        <w:rPr/>
        <w:t>C reste</w:t>
      </w:r>
      <w:r>
        <w:rPr>
          <w:spacing w:val="-2"/>
        </w:rPr>
        <w:t> </w:t>
      </w:r>
      <w:r>
        <w:rPr/>
        <w:t>faible</w:t>
      </w:r>
      <w:r>
        <w:rPr>
          <w:spacing w:val="-2"/>
        </w:rPr>
        <w:t> </w:t>
      </w:r>
      <w:r>
        <w:rPr/>
        <w:t>mais</w:t>
      </w:r>
      <w:r>
        <w:rPr>
          <w:spacing w:val="-1"/>
        </w:rPr>
        <w:t> </w:t>
      </w:r>
      <w:r>
        <w:rPr/>
        <w:t>n'a pas</w:t>
      </w:r>
      <w:r>
        <w:rPr>
          <w:spacing w:val="-2"/>
        </w:rPr>
        <w:t> </w:t>
      </w:r>
      <w:r>
        <w:rPr/>
        <w:t>fait encore l'objet de protocole thérapeutique.</w:t>
      </w:r>
    </w:p>
    <w:p>
      <w:pPr>
        <w:pStyle w:val="BodyText"/>
        <w:spacing w:before="10"/>
        <w:ind w:left="0"/>
        <w:rPr>
          <w:sz w:val="19"/>
        </w:rPr>
      </w:pPr>
    </w:p>
    <w:p>
      <w:pPr>
        <w:pStyle w:val="BodyText"/>
        <w:tabs>
          <w:tab w:pos="8328" w:val="left" w:leader="none"/>
        </w:tabs>
        <w:ind w:right="103"/>
        <w:jc w:val="both"/>
      </w:pPr>
      <w:r>
        <w:rPr/>
        <w:t>La complexité de ces situations fait que les informations, si elles doivent préserver le libre- arbitre du couple, ne peuvent être que particulièrement prudentes. Les modifications apportées par le progrès médical amèneront sans cesse à réviser à la hausse ou à la baisse </w:t>
      </w:r>
      <w:r>
        <w:rPr>
          <w:spacing w:val="-5"/>
        </w:rPr>
        <w:t>les</w:t>
      </w:r>
      <w:r>
        <w:rPr/>
        <w:tab/>
      </w:r>
      <w:r>
        <w:rPr>
          <w:spacing w:val="-2"/>
        </w:rPr>
        <w:t>indications.</w:t>
      </w:r>
    </w:p>
    <w:p>
      <w:pPr>
        <w:pStyle w:val="BodyText"/>
        <w:spacing w:before="2"/>
        <w:ind w:left="0"/>
      </w:pPr>
    </w:p>
    <w:p>
      <w:pPr>
        <w:spacing w:before="0"/>
        <w:ind w:left="113" w:right="104" w:firstLine="0"/>
        <w:jc w:val="both"/>
        <w:rPr>
          <w:b/>
          <w:sz w:val="20"/>
        </w:rPr>
      </w:pPr>
      <w:r>
        <w:rPr>
          <w:b/>
          <w:sz w:val="20"/>
        </w:rPr>
        <w:t>En conclusion</w:t>
      </w:r>
      <w:r>
        <w:rPr>
          <w:sz w:val="20"/>
        </w:rPr>
        <w:t>, le CCNE considère que l'approche d'une femme ou d'un couple séropositif désirant un enfant met les médecins face à leur double obligation </w:t>
      </w:r>
      <w:r>
        <w:rPr>
          <w:b/>
          <w:sz w:val="20"/>
        </w:rPr>
        <w:t>d'aider ce couple, sans discrimination,</w:t>
      </w:r>
      <w:r>
        <w:rPr>
          <w:b/>
          <w:spacing w:val="39"/>
          <w:sz w:val="20"/>
        </w:rPr>
        <w:t> </w:t>
      </w:r>
      <w:r>
        <w:rPr>
          <w:b/>
          <w:sz w:val="20"/>
        </w:rPr>
        <w:t>tout</w:t>
      </w:r>
      <w:r>
        <w:rPr>
          <w:b/>
          <w:spacing w:val="42"/>
          <w:sz w:val="20"/>
        </w:rPr>
        <w:t> </w:t>
      </w:r>
      <w:r>
        <w:rPr>
          <w:b/>
          <w:sz w:val="20"/>
        </w:rPr>
        <w:t>en</w:t>
      </w:r>
      <w:r>
        <w:rPr>
          <w:b/>
          <w:spacing w:val="41"/>
          <w:sz w:val="20"/>
        </w:rPr>
        <w:t> </w:t>
      </w:r>
      <w:r>
        <w:rPr>
          <w:b/>
          <w:sz w:val="20"/>
        </w:rPr>
        <w:t>préservant</w:t>
      </w:r>
      <w:r>
        <w:rPr>
          <w:b/>
          <w:spacing w:val="42"/>
          <w:sz w:val="20"/>
        </w:rPr>
        <w:t> </w:t>
      </w:r>
      <w:r>
        <w:rPr>
          <w:b/>
          <w:sz w:val="20"/>
        </w:rPr>
        <w:t>au</w:t>
      </w:r>
      <w:r>
        <w:rPr>
          <w:b/>
          <w:spacing w:val="40"/>
          <w:sz w:val="20"/>
        </w:rPr>
        <w:t> </w:t>
      </w:r>
      <w:r>
        <w:rPr>
          <w:b/>
          <w:sz w:val="20"/>
        </w:rPr>
        <w:t>maximum</w:t>
      </w:r>
      <w:r>
        <w:rPr>
          <w:b/>
          <w:spacing w:val="41"/>
          <w:sz w:val="20"/>
        </w:rPr>
        <w:t> </w:t>
      </w:r>
      <w:r>
        <w:rPr>
          <w:b/>
          <w:sz w:val="20"/>
        </w:rPr>
        <w:t>l'avenir</w:t>
      </w:r>
      <w:r>
        <w:rPr>
          <w:b/>
          <w:spacing w:val="41"/>
          <w:sz w:val="20"/>
        </w:rPr>
        <w:t> </w:t>
      </w:r>
      <w:r>
        <w:rPr>
          <w:b/>
          <w:sz w:val="20"/>
        </w:rPr>
        <w:t>et</w:t>
      </w:r>
      <w:r>
        <w:rPr>
          <w:b/>
          <w:spacing w:val="42"/>
          <w:sz w:val="20"/>
        </w:rPr>
        <w:t> </w:t>
      </w:r>
      <w:r>
        <w:rPr>
          <w:b/>
          <w:sz w:val="20"/>
        </w:rPr>
        <w:t>l'intérêt</w:t>
      </w:r>
      <w:r>
        <w:rPr>
          <w:b/>
          <w:spacing w:val="45"/>
          <w:sz w:val="20"/>
        </w:rPr>
        <w:t> </w:t>
      </w:r>
      <w:r>
        <w:rPr>
          <w:b/>
          <w:sz w:val="20"/>
        </w:rPr>
        <w:t>de</w:t>
      </w:r>
      <w:r>
        <w:rPr>
          <w:b/>
          <w:spacing w:val="44"/>
          <w:sz w:val="20"/>
        </w:rPr>
        <w:t> </w:t>
      </w:r>
      <w:r>
        <w:rPr>
          <w:b/>
          <w:spacing w:val="-2"/>
          <w:sz w:val="20"/>
        </w:rPr>
        <w:t>l'enfant.</w:t>
      </w:r>
    </w:p>
    <w:p>
      <w:pPr>
        <w:pStyle w:val="BodyText"/>
        <w:spacing w:before="12"/>
        <w:ind w:left="0"/>
        <w:rPr>
          <w:b/>
          <w:sz w:val="19"/>
        </w:rPr>
      </w:pPr>
    </w:p>
    <w:p>
      <w:pPr>
        <w:spacing w:before="0"/>
        <w:ind w:left="113" w:right="103" w:firstLine="0"/>
        <w:jc w:val="both"/>
        <w:rPr>
          <w:b/>
          <w:sz w:val="20"/>
        </w:rPr>
      </w:pPr>
      <w:r>
        <w:rPr>
          <w:sz w:val="20"/>
        </w:rPr>
        <w:t>Ces situations ne sont jamais simples</w:t>
      </w:r>
      <w:r>
        <w:rPr>
          <w:spacing w:val="80"/>
          <w:w w:val="150"/>
          <w:sz w:val="20"/>
        </w:rPr>
        <w:t> </w:t>
      </w:r>
      <w:r>
        <w:rPr>
          <w:sz w:val="20"/>
        </w:rPr>
        <w:t>y faire face requiert de la part de l'équipe médicale, une</w:t>
      </w:r>
      <w:r>
        <w:rPr>
          <w:spacing w:val="-2"/>
          <w:sz w:val="20"/>
        </w:rPr>
        <w:t> </w:t>
      </w:r>
      <w:r>
        <w:rPr>
          <w:sz w:val="20"/>
        </w:rPr>
        <w:t>ouverture</w:t>
      </w:r>
      <w:r>
        <w:rPr>
          <w:spacing w:val="-2"/>
          <w:sz w:val="20"/>
        </w:rPr>
        <w:t> </w:t>
      </w:r>
      <w:r>
        <w:rPr>
          <w:sz w:val="20"/>
        </w:rPr>
        <w:t>au projet parental du couple</w:t>
      </w:r>
      <w:r>
        <w:rPr>
          <w:spacing w:val="-1"/>
          <w:sz w:val="20"/>
        </w:rPr>
        <w:t> </w:t>
      </w:r>
      <w:r>
        <w:rPr>
          <w:sz w:val="20"/>
        </w:rPr>
        <w:t>et un esprit de</w:t>
      </w:r>
      <w:r>
        <w:rPr>
          <w:spacing w:val="-1"/>
          <w:sz w:val="20"/>
        </w:rPr>
        <w:t> </w:t>
      </w:r>
      <w:r>
        <w:rPr>
          <w:sz w:val="20"/>
        </w:rPr>
        <w:t>responsabilité</w:t>
      </w:r>
      <w:r>
        <w:rPr>
          <w:spacing w:val="-1"/>
          <w:sz w:val="20"/>
        </w:rPr>
        <w:t> </w:t>
      </w:r>
      <w:r>
        <w:rPr>
          <w:sz w:val="20"/>
        </w:rPr>
        <w:t>envers l'enfant qui pourrait naître. Surmonter cette tension n'est possible que par l'information soutenue et bienveillante, mais sans concession de l'homme et de la femme, indiquant en particulier avec force toutes les incertitudes et les inquiétudes pesant sur le futur de l'enfant et apportant tous les éléments utiles à la décision du couple. </w:t>
      </w:r>
      <w:r>
        <w:rPr>
          <w:b/>
          <w:sz w:val="20"/>
        </w:rPr>
        <w:t>L'action des médecins se devra de poursuivre conjointement l'aide raisonnable à la réalisation du projet parental du couple, et la prise en compte de l'intérêt de l'enfant.</w:t>
      </w:r>
    </w:p>
    <w:p>
      <w:pPr>
        <w:pStyle w:val="BodyText"/>
        <w:ind w:left="0"/>
        <w:rPr>
          <w:b/>
        </w:rPr>
      </w:pPr>
    </w:p>
    <w:p>
      <w:pPr>
        <w:pStyle w:val="BodyText"/>
        <w:spacing w:before="8"/>
        <w:ind w:left="0"/>
        <w:rPr>
          <w:b/>
          <w:sz w:val="14"/>
        </w:rPr>
      </w:pPr>
      <w:r>
        <w:rPr/>
        <mc:AlternateContent>
          <mc:Choice Requires="wps">
            <w:drawing>
              <wp:anchor distT="0" distB="0" distL="0" distR="0" allowOverlap="1" layoutInCell="1" locked="0" behindDoc="1" simplePos="0" relativeHeight="487587840">
                <wp:simplePos x="0" y="0"/>
                <wp:positionH relativeFrom="page">
                  <wp:posOffset>808101</wp:posOffset>
                </wp:positionH>
                <wp:positionV relativeFrom="paragraph">
                  <wp:posOffset>129230</wp:posOffset>
                </wp:positionV>
                <wp:extent cx="5945505" cy="1524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945505" cy="15240"/>
                          <a:chExt cx="5945505" cy="15240"/>
                        </a:xfrm>
                      </wpg:grpSpPr>
                      <wps:wsp>
                        <wps:cNvPr id="2" name="Graphic 2"/>
                        <wps:cNvSpPr/>
                        <wps:spPr>
                          <a:xfrm>
                            <a:off x="761" y="761"/>
                            <a:ext cx="5943600" cy="1905"/>
                          </a:xfrm>
                          <a:custGeom>
                            <a:avLst/>
                            <a:gdLst/>
                            <a:ahLst/>
                            <a:cxnLst/>
                            <a:rect l="l" t="t" r="r" b="b"/>
                            <a:pathLst>
                              <a:path w="5943600" h="1905">
                                <a:moveTo>
                                  <a:pt x="0" y="0"/>
                                </a:moveTo>
                                <a:lnTo>
                                  <a:pt x="5943598" y="1522"/>
                                </a:lnTo>
                              </a:path>
                            </a:pathLst>
                          </a:custGeom>
                          <a:ln w="1524">
                            <a:solidFill>
                              <a:srgbClr val="7F7F7F"/>
                            </a:solidFill>
                            <a:prstDash val="solid"/>
                          </a:ln>
                        </wps:spPr>
                        <wps:bodyPr wrap="square" lIns="0" tIns="0" rIns="0" bIns="0" rtlCol="0">
                          <a:prstTxWarp prst="textNoShape">
                            <a:avLst/>
                          </a:prstTxWarp>
                          <a:noAutofit/>
                        </wps:bodyPr>
                      </wps:wsp>
                      <wps:wsp>
                        <wps:cNvPr id="3" name="Graphic 3"/>
                        <wps:cNvSpPr/>
                        <wps:spPr>
                          <a:xfrm>
                            <a:off x="761" y="14476"/>
                            <a:ext cx="5943600" cy="1270"/>
                          </a:xfrm>
                          <a:custGeom>
                            <a:avLst/>
                            <a:gdLst/>
                            <a:ahLst/>
                            <a:cxnLst/>
                            <a:rect l="l" t="t" r="r" b="b"/>
                            <a:pathLst>
                              <a:path w="5943600" h="0">
                                <a:moveTo>
                                  <a:pt x="0" y="0"/>
                                </a:moveTo>
                                <a:lnTo>
                                  <a:pt x="5943598" y="0"/>
                                </a:lnTo>
                              </a:path>
                            </a:pathLst>
                          </a:custGeom>
                          <a:ln w="1524">
                            <a:solidFill>
                              <a:srgbClr val="D4D4D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630001pt;margin-top:10.175645pt;width:468.15pt;height:1.2pt;mso-position-horizontal-relative:page;mso-position-vertical-relative:paragraph;z-index:-15728640;mso-wrap-distance-left:0;mso-wrap-distance-right:0" id="docshapegroup1" coordorigin="1273,204" coordsize="9363,24">
                <v:line style="position:absolute" from="1274,205" to="10634,207" stroked="true" strokeweight=".12pt" strokecolor="#7f7f7f">
                  <v:stroke dashstyle="solid"/>
                </v:line>
                <v:line style="position:absolute" from="1274,226" to="10634,226" stroked="true" strokeweight=".12pt" strokecolor="#d4d4d4">
                  <v:stroke dashstyle="solid"/>
                </v:line>
                <w10:wrap type="topAndBottom"/>
              </v:group>
            </w:pict>
          </mc:Fallback>
        </mc:AlternateContent>
      </w:r>
    </w:p>
    <w:p>
      <w:pPr>
        <w:pStyle w:val="BodyText"/>
        <w:spacing w:before="1"/>
        <w:ind w:left="0"/>
        <w:rPr>
          <w:b/>
          <w:sz w:val="19"/>
        </w:rPr>
      </w:pPr>
    </w:p>
    <w:p>
      <w:pPr>
        <w:pStyle w:val="BodyText"/>
      </w:pPr>
      <w:r>
        <w:rPr>
          <w:spacing w:val="-2"/>
        </w:rPr>
        <w:t>REFERENCES</w:t>
      </w:r>
    </w:p>
    <w:p>
      <w:pPr>
        <w:pStyle w:val="BodyText"/>
        <w:spacing w:before="183"/>
        <w:ind w:right="62"/>
      </w:pPr>
      <w:r>
        <w:rPr>
          <w:rFonts w:ascii="Castellar" w:hAnsi="Castellar"/>
          <w:position w:val="9"/>
          <w:sz w:val="17"/>
        </w:rPr>
        <w:t>.L</w:t>
      </w:r>
      <w:r>
        <w:rPr/>
        <w:t>Avis</w:t>
      </w:r>
      <w:r>
        <w:rPr>
          <w:spacing w:val="-9"/>
        </w:rPr>
        <w:t> </w:t>
      </w:r>
      <w:r>
        <w:rPr/>
        <w:t>sur</w:t>
      </w:r>
      <w:r>
        <w:rPr>
          <w:spacing w:val="-9"/>
        </w:rPr>
        <w:t> </w:t>
      </w:r>
      <w:r>
        <w:rPr/>
        <w:t>les</w:t>
      </w:r>
      <w:r>
        <w:rPr>
          <w:spacing w:val="-7"/>
        </w:rPr>
        <w:t> </w:t>
      </w:r>
      <w:r>
        <w:rPr/>
        <w:t>problèmes</w:t>
      </w:r>
      <w:r>
        <w:rPr>
          <w:spacing w:val="-6"/>
        </w:rPr>
        <w:t> </w:t>
      </w:r>
      <w:r>
        <w:rPr/>
        <w:t>éthiques</w:t>
      </w:r>
      <w:r>
        <w:rPr>
          <w:spacing w:val="-9"/>
        </w:rPr>
        <w:t> </w:t>
      </w:r>
      <w:r>
        <w:rPr/>
        <w:t>posés</w:t>
      </w:r>
      <w:r>
        <w:rPr>
          <w:spacing w:val="-9"/>
        </w:rPr>
        <w:t> </w:t>
      </w:r>
      <w:r>
        <w:rPr/>
        <w:t>par</w:t>
      </w:r>
      <w:r>
        <w:rPr>
          <w:spacing w:val="-6"/>
        </w:rPr>
        <w:t> </w:t>
      </w:r>
      <w:r>
        <w:rPr/>
        <w:t>le</w:t>
      </w:r>
      <w:r>
        <w:rPr>
          <w:spacing w:val="-10"/>
        </w:rPr>
        <w:t> </w:t>
      </w:r>
      <w:r>
        <w:rPr/>
        <w:t>désir</w:t>
      </w:r>
      <w:r>
        <w:rPr>
          <w:spacing w:val="-8"/>
        </w:rPr>
        <w:t> </w:t>
      </w:r>
      <w:r>
        <w:rPr/>
        <w:t>d'enfant</w:t>
      </w:r>
      <w:r>
        <w:rPr>
          <w:spacing w:val="-5"/>
        </w:rPr>
        <w:t> </w:t>
      </w:r>
      <w:r>
        <w:rPr/>
        <w:t>chez</w:t>
      </w:r>
      <w:r>
        <w:rPr>
          <w:spacing w:val="-6"/>
        </w:rPr>
        <w:t> </w:t>
      </w:r>
      <w:r>
        <w:rPr/>
        <w:t>les</w:t>
      </w:r>
      <w:r>
        <w:rPr>
          <w:spacing w:val="-7"/>
        </w:rPr>
        <w:t> </w:t>
      </w:r>
      <w:r>
        <w:rPr/>
        <w:t>couples</w:t>
      </w:r>
      <w:r>
        <w:rPr>
          <w:spacing w:val="-9"/>
        </w:rPr>
        <w:t> </w:t>
      </w:r>
      <w:r>
        <w:rPr/>
        <w:t>où</w:t>
      </w:r>
      <w:r>
        <w:rPr>
          <w:spacing w:val="-6"/>
        </w:rPr>
        <w:t> </w:t>
      </w:r>
      <w:r>
        <w:rPr/>
        <w:t>l'homme</w:t>
      </w:r>
      <w:r>
        <w:rPr>
          <w:spacing w:val="-7"/>
        </w:rPr>
        <w:t> </w:t>
      </w:r>
      <w:r>
        <w:rPr/>
        <w:t>est séropositif et la femme séronégative. Conseil National du Sida, Comité Consultatif National d'Ethique, 10 février 1998 Avis sur l'assistance médicale à la procréation pour les couples sérodifférents dont l'homme est séropositif pour le VIH, Conseil national du sida, 4 avril 2000.</w:t>
      </w:r>
      <w:r>
        <w:rPr>
          <w:spacing w:val="-1"/>
        </w:rPr>
        <w:t> </w:t>
      </w:r>
      <w:r>
        <w:rPr/>
        <w:t>Par courrier</w:t>
      </w:r>
      <w:r>
        <w:rPr>
          <w:spacing w:val="-2"/>
        </w:rPr>
        <w:t> </w:t>
      </w:r>
      <w:r>
        <w:rPr/>
        <w:t>adressé</w:t>
      </w:r>
      <w:r>
        <w:rPr>
          <w:spacing w:val="-3"/>
        </w:rPr>
        <w:t> </w:t>
      </w:r>
      <w:r>
        <w:rPr/>
        <w:t>au Ministre</w:t>
      </w:r>
      <w:r>
        <w:rPr>
          <w:spacing w:val="-3"/>
        </w:rPr>
        <w:t> </w:t>
      </w:r>
      <w:r>
        <w:rPr/>
        <w:t>délégué</w:t>
      </w:r>
      <w:r>
        <w:rPr>
          <w:spacing w:val="-3"/>
        </w:rPr>
        <w:t> </w:t>
      </w:r>
      <w:r>
        <w:rPr/>
        <w:t>à la Santé en date du 19</w:t>
      </w:r>
      <w:r>
        <w:rPr>
          <w:spacing w:val="-1"/>
        </w:rPr>
        <w:t> </w:t>
      </w:r>
      <w:r>
        <w:rPr/>
        <w:t>avril 2001,</w:t>
      </w:r>
      <w:r>
        <w:rPr>
          <w:spacing w:val="-4"/>
        </w:rPr>
        <w:t> </w:t>
      </w:r>
      <w:r>
        <w:rPr/>
        <w:t>le</w:t>
      </w:r>
      <w:r>
        <w:rPr>
          <w:spacing w:val="-3"/>
        </w:rPr>
        <w:t> </w:t>
      </w:r>
      <w:r>
        <w:rPr/>
        <w:t>CCNE se prononçait dans le même sens que l'avis du CNS précité.</w:t>
      </w:r>
    </w:p>
    <w:p>
      <w:pPr>
        <w:pStyle w:val="BodyText"/>
        <w:spacing w:line="242" w:lineRule="exact" w:before="8"/>
        <w:ind w:right="62"/>
      </w:pPr>
      <w:r>
        <w:rPr>
          <w:rFonts w:ascii="Castellar" w:hAnsi="Castellar"/>
          <w:position w:val="9"/>
          <w:sz w:val="17"/>
        </w:rPr>
        <w:t>L</w:t>
      </w:r>
      <w:r>
        <w:rPr/>
        <w:t>Arrêté du 10 mai 2001 modifiant l'arrêté du 12 janvier 1999 relatif aux règles de bonnes pratiques</w:t>
      </w:r>
      <w:r>
        <w:rPr>
          <w:spacing w:val="-5"/>
        </w:rPr>
        <w:t> </w:t>
      </w:r>
      <w:r>
        <w:rPr/>
        <w:t>clinique</w:t>
      </w:r>
      <w:r>
        <w:rPr>
          <w:spacing w:val="-6"/>
        </w:rPr>
        <w:t> </w:t>
      </w:r>
      <w:r>
        <w:rPr/>
        <w:t>et</w:t>
      </w:r>
      <w:r>
        <w:rPr>
          <w:spacing w:val="-3"/>
        </w:rPr>
        <w:t> </w:t>
      </w:r>
      <w:r>
        <w:rPr/>
        <w:t>biologiques</w:t>
      </w:r>
      <w:r>
        <w:rPr>
          <w:spacing w:val="-5"/>
        </w:rPr>
        <w:t> </w:t>
      </w:r>
      <w:r>
        <w:rPr/>
        <w:t>en</w:t>
      </w:r>
      <w:r>
        <w:rPr>
          <w:spacing w:val="-3"/>
        </w:rPr>
        <w:t> </w:t>
      </w:r>
      <w:r>
        <w:rPr/>
        <w:t>assistance</w:t>
      </w:r>
      <w:r>
        <w:rPr>
          <w:spacing w:val="-6"/>
        </w:rPr>
        <w:t> </w:t>
      </w:r>
      <w:r>
        <w:rPr/>
        <w:t>médicale</w:t>
      </w:r>
      <w:r>
        <w:rPr>
          <w:spacing w:val="-6"/>
        </w:rPr>
        <w:t> </w:t>
      </w:r>
      <w:r>
        <w:rPr/>
        <w:t>à</w:t>
      </w:r>
      <w:r>
        <w:rPr>
          <w:spacing w:val="-3"/>
        </w:rPr>
        <w:t> </w:t>
      </w:r>
      <w:r>
        <w:rPr/>
        <w:t>la</w:t>
      </w:r>
      <w:r>
        <w:rPr>
          <w:spacing w:val="-3"/>
        </w:rPr>
        <w:t> </w:t>
      </w:r>
      <w:r>
        <w:rPr/>
        <w:t>procréation,</w:t>
      </w:r>
      <w:r>
        <w:rPr>
          <w:spacing w:val="-4"/>
        </w:rPr>
        <w:t> </w:t>
      </w:r>
      <w:r>
        <w:rPr/>
        <w:t>Journal Officiel,</w:t>
      </w:r>
      <w:r>
        <w:rPr>
          <w:spacing w:val="-4"/>
        </w:rPr>
        <w:t> </w:t>
      </w:r>
      <w:r>
        <w:rPr/>
        <w:t>15 mai 2001, p.7735-7737.</w:t>
      </w:r>
    </w:p>
    <w:p>
      <w:pPr>
        <w:pStyle w:val="BodyText"/>
        <w:spacing w:line="242" w:lineRule="exact" w:before="4"/>
        <w:ind w:right="523"/>
      </w:pPr>
      <w:r>
        <w:rPr>
          <w:rFonts w:ascii="Castellar" w:hAnsi="Castellar"/>
          <w:position w:val="9"/>
          <w:sz w:val="17"/>
        </w:rPr>
        <w:t>.. </w:t>
      </w:r>
      <w:r>
        <w:rPr/>
        <w:t>F. Dreiffus-Netter, Observations hétérodoxes sur la question du préjudice de l'enfant victime d'un handicap congénital non décelé pendant la grossesse. Med .&amp; Droit, 2001</w:t>
      </w:r>
      <w:r>
        <w:rPr/>
        <w:t> 46 1-6</w:t>
      </w:r>
    </w:p>
    <w:p>
      <w:pPr>
        <w:pStyle w:val="BodyText"/>
        <w:spacing w:before="5"/>
        <w:ind w:left="0"/>
        <w:rPr>
          <w:sz w:val="18"/>
        </w:rPr>
      </w:pPr>
    </w:p>
    <w:p>
      <w:pPr>
        <w:pStyle w:val="BodyText"/>
      </w:pPr>
      <w:r>
        <w:rPr>
          <w:color w:val="0000FF"/>
          <w:u w:val="single" w:color="0000FF"/>
        </w:rPr>
        <w:t>(c)</w:t>
      </w:r>
      <w:r>
        <w:rPr>
          <w:color w:val="0000FF"/>
          <w:spacing w:val="-6"/>
          <w:u w:val="single" w:color="0000FF"/>
        </w:rPr>
        <w:t> </w:t>
      </w:r>
      <w:r>
        <w:rPr>
          <w:color w:val="0000FF"/>
          <w:u w:val="single" w:color="0000FF"/>
        </w:rPr>
        <w:t>2001,</w:t>
      </w:r>
      <w:r>
        <w:rPr>
          <w:color w:val="0000FF"/>
          <w:spacing w:val="-5"/>
          <w:u w:val="single" w:color="0000FF"/>
        </w:rPr>
        <w:t> </w:t>
      </w:r>
      <w:r>
        <w:rPr>
          <w:color w:val="0000FF"/>
          <w:u w:val="single" w:color="0000FF"/>
        </w:rPr>
        <w:t>Comité</w:t>
      </w:r>
      <w:r>
        <w:rPr>
          <w:color w:val="0000FF"/>
          <w:spacing w:val="-6"/>
          <w:u w:val="single" w:color="0000FF"/>
        </w:rPr>
        <w:t> </w:t>
      </w:r>
      <w:r>
        <w:rPr>
          <w:color w:val="0000FF"/>
          <w:u w:val="single" w:color="0000FF"/>
        </w:rPr>
        <w:t>Consultatif</w:t>
      </w:r>
      <w:r>
        <w:rPr>
          <w:color w:val="0000FF"/>
          <w:spacing w:val="-5"/>
          <w:u w:val="single" w:color="0000FF"/>
        </w:rPr>
        <w:t> </w:t>
      </w:r>
      <w:r>
        <w:rPr>
          <w:color w:val="0000FF"/>
          <w:u w:val="single" w:color="0000FF"/>
        </w:rPr>
        <w:t>National d'Ethique</w:t>
      </w:r>
      <w:r>
        <w:rPr>
          <w:color w:val="0000FF"/>
          <w:spacing w:val="-7"/>
          <w:u w:val="single" w:color="0000FF"/>
        </w:rPr>
        <w:t> </w:t>
      </w:r>
      <w:r>
        <w:rPr>
          <w:color w:val="0000FF"/>
          <w:u w:val="single" w:color="0000FF"/>
        </w:rPr>
        <w:t>pour</w:t>
      </w:r>
      <w:r>
        <w:rPr>
          <w:color w:val="0000FF"/>
          <w:spacing w:val="-6"/>
          <w:u w:val="single" w:color="0000FF"/>
        </w:rPr>
        <w:t> </w:t>
      </w:r>
      <w:r>
        <w:rPr>
          <w:color w:val="0000FF"/>
          <w:u w:val="single" w:color="0000FF"/>
        </w:rPr>
        <w:t>les</w:t>
      </w:r>
      <w:r>
        <w:rPr>
          <w:color w:val="0000FF"/>
          <w:spacing w:val="-3"/>
          <w:u w:val="single" w:color="0000FF"/>
        </w:rPr>
        <w:t> </w:t>
      </w:r>
      <w:r>
        <w:rPr>
          <w:color w:val="0000FF"/>
          <w:u w:val="single" w:color="0000FF"/>
        </w:rPr>
        <w:t>sciences</w:t>
      </w:r>
      <w:r>
        <w:rPr>
          <w:color w:val="0000FF"/>
          <w:spacing w:val="-6"/>
          <w:u w:val="single" w:color="0000FF"/>
        </w:rPr>
        <w:t> </w:t>
      </w:r>
      <w:r>
        <w:rPr>
          <w:color w:val="0000FF"/>
          <w:u w:val="single" w:color="0000FF"/>
        </w:rPr>
        <w:t>de</w:t>
      </w:r>
      <w:r>
        <w:rPr>
          <w:color w:val="0000FF"/>
          <w:spacing w:val="-7"/>
          <w:u w:val="single" w:color="0000FF"/>
        </w:rPr>
        <w:t> </w:t>
      </w:r>
      <w:r>
        <w:rPr>
          <w:color w:val="0000FF"/>
          <w:u w:val="single" w:color="0000FF"/>
        </w:rPr>
        <w:t>la</w:t>
      </w:r>
      <w:r>
        <w:rPr>
          <w:color w:val="0000FF"/>
          <w:spacing w:val="-4"/>
          <w:u w:val="single" w:color="0000FF"/>
        </w:rPr>
        <w:t> </w:t>
      </w:r>
      <w:r>
        <w:rPr>
          <w:color w:val="0000FF"/>
          <w:u w:val="single" w:color="0000FF"/>
        </w:rPr>
        <w:t>vie</w:t>
      </w:r>
      <w:r>
        <w:rPr>
          <w:color w:val="0000FF"/>
          <w:spacing w:val="-7"/>
          <w:u w:val="single" w:color="0000FF"/>
        </w:rPr>
        <w:t> </w:t>
      </w:r>
      <w:r>
        <w:rPr>
          <w:color w:val="0000FF"/>
          <w:u w:val="single" w:color="0000FF"/>
        </w:rPr>
        <w:t>et</w:t>
      </w:r>
      <w:r>
        <w:rPr>
          <w:color w:val="0000FF"/>
          <w:spacing w:val="-4"/>
          <w:u w:val="single" w:color="0000FF"/>
        </w:rPr>
        <w:t> </w:t>
      </w:r>
      <w:r>
        <w:rPr>
          <w:color w:val="0000FF"/>
          <w:u w:val="single" w:color="0000FF"/>
        </w:rPr>
        <w:t>de</w:t>
      </w:r>
      <w:r>
        <w:rPr>
          <w:color w:val="0000FF"/>
          <w:spacing w:val="-7"/>
          <w:u w:val="single" w:color="0000FF"/>
        </w:rPr>
        <w:t> </w:t>
      </w:r>
      <w:r>
        <w:rPr>
          <w:color w:val="0000FF"/>
          <w:u w:val="single" w:color="0000FF"/>
        </w:rPr>
        <w:t>la</w:t>
      </w:r>
      <w:r>
        <w:rPr>
          <w:color w:val="0000FF"/>
          <w:spacing w:val="-4"/>
          <w:u w:val="single" w:color="0000FF"/>
        </w:rPr>
        <w:t> </w:t>
      </w:r>
      <w:r>
        <w:rPr>
          <w:color w:val="0000FF"/>
          <w:spacing w:val="-2"/>
          <w:u w:val="single" w:color="0000FF"/>
        </w:rPr>
        <w:t>santé</w:t>
      </w:r>
    </w:p>
    <w:sectPr>
      <w:pgSz w:w="11900" w:h="16840"/>
      <w:pgMar w:top="134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Castellar">
    <w:altName w:val="Castellar"/>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01" w:hanging="289"/>
        <w:jc w:val="left"/>
      </w:pPr>
      <w:rPr>
        <w:rFonts w:hint="default" w:ascii="Verdana" w:hAnsi="Verdana" w:eastAsia="Verdana" w:cs="Verdana"/>
        <w:b w:val="0"/>
        <w:bCs w:val="0"/>
        <w:i w:val="0"/>
        <w:iCs w:val="0"/>
        <w:color w:val="0000FF"/>
        <w:spacing w:val="0"/>
        <w:w w:val="90"/>
        <w:sz w:val="20"/>
        <w:szCs w:val="20"/>
        <w:u w:val="single" w:color="0000FF"/>
        <w:lang w:val="fr-FR" w:eastAsia="en-US" w:bidi="ar-SA"/>
      </w:rPr>
    </w:lvl>
    <w:lvl w:ilvl="1">
      <w:start w:val="1"/>
      <w:numFmt w:val="decimal"/>
      <w:lvlText w:val="%2)"/>
      <w:lvlJc w:val="left"/>
      <w:pPr>
        <w:ind w:left="668" w:hanging="449"/>
        <w:jc w:val="right"/>
      </w:pPr>
      <w:rPr>
        <w:rFonts w:hint="default" w:ascii="Verdana" w:hAnsi="Verdana" w:eastAsia="Verdana" w:cs="Verdana"/>
        <w:b/>
        <w:bCs/>
        <w:i w:val="0"/>
        <w:iCs w:val="0"/>
        <w:spacing w:val="-1"/>
        <w:w w:val="100"/>
        <w:sz w:val="28"/>
        <w:szCs w:val="28"/>
        <w:lang w:val="fr-FR" w:eastAsia="en-US" w:bidi="ar-SA"/>
      </w:rPr>
    </w:lvl>
    <w:lvl w:ilvl="2">
      <w:start w:val="1"/>
      <w:numFmt w:val="lowerLetter"/>
      <w:lvlText w:val="%3)"/>
      <w:lvlJc w:val="left"/>
      <w:pPr>
        <w:ind w:left="879" w:hanging="406"/>
        <w:jc w:val="left"/>
      </w:pPr>
      <w:rPr>
        <w:rFonts w:hint="default" w:ascii="Verdana" w:hAnsi="Verdana" w:eastAsia="Verdana" w:cs="Verdana"/>
        <w:b w:val="0"/>
        <w:bCs w:val="0"/>
        <w:i/>
        <w:iCs/>
        <w:spacing w:val="-1"/>
        <w:w w:val="99"/>
        <w:sz w:val="28"/>
        <w:szCs w:val="28"/>
        <w:lang w:val="fr-FR" w:eastAsia="en-US" w:bidi="ar-SA"/>
      </w:rPr>
    </w:lvl>
    <w:lvl w:ilvl="3">
      <w:start w:val="0"/>
      <w:numFmt w:val="bullet"/>
      <w:lvlText w:val="-"/>
      <w:lvlJc w:val="left"/>
      <w:pPr>
        <w:ind w:left="473" w:hanging="221"/>
      </w:pPr>
      <w:rPr>
        <w:rFonts w:hint="default" w:ascii="Verdana" w:hAnsi="Verdana" w:eastAsia="Verdana" w:cs="Verdana"/>
        <w:b w:val="0"/>
        <w:bCs w:val="0"/>
        <w:i w:val="0"/>
        <w:iCs w:val="0"/>
        <w:spacing w:val="0"/>
        <w:w w:val="99"/>
        <w:sz w:val="24"/>
        <w:szCs w:val="24"/>
        <w:lang w:val="fr-FR" w:eastAsia="en-US" w:bidi="ar-SA"/>
      </w:rPr>
    </w:lvl>
    <w:lvl w:ilvl="4">
      <w:start w:val="0"/>
      <w:numFmt w:val="bullet"/>
      <w:lvlText w:val="•"/>
      <w:lvlJc w:val="left"/>
      <w:pPr>
        <w:ind w:left="880" w:hanging="221"/>
      </w:pPr>
      <w:rPr>
        <w:rFonts w:hint="default"/>
        <w:lang w:val="fr-FR" w:eastAsia="en-US" w:bidi="ar-SA"/>
      </w:rPr>
    </w:lvl>
    <w:lvl w:ilvl="5">
      <w:start w:val="0"/>
      <w:numFmt w:val="bullet"/>
      <w:lvlText w:val="•"/>
      <w:lvlJc w:val="left"/>
      <w:pPr>
        <w:ind w:left="2330" w:hanging="221"/>
      </w:pPr>
      <w:rPr>
        <w:rFonts w:hint="default"/>
        <w:lang w:val="fr-FR" w:eastAsia="en-US" w:bidi="ar-SA"/>
      </w:rPr>
    </w:lvl>
    <w:lvl w:ilvl="6">
      <w:start w:val="0"/>
      <w:numFmt w:val="bullet"/>
      <w:lvlText w:val="•"/>
      <w:lvlJc w:val="left"/>
      <w:pPr>
        <w:ind w:left="3780" w:hanging="221"/>
      </w:pPr>
      <w:rPr>
        <w:rFonts w:hint="default"/>
        <w:lang w:val="fr-FR" w:eastAsia="en-US" w:bidi="ar-SA"/>
      </w:rPr>
    </w:lvl>
    <w:lvl w:ilvl="7">
      <w:start w:val="0"/>
      <w:numFmt w:val="bullet"/>
      <w:lvlText w:val="•"/>
      <w:lvlJc w:val="left"/>
      <w:pPr>
        <w:ind w:left="5230" w:hanging="221"/>
      </w:pPr>
      <w:rPr>
        <w:rFonts w:hint="default"/>
        <w:lang w:val="fr-FR" w:eastAsia="en-US" w:bidi="ar-SA"/>
      </w:rPr>
    </w:lvl>
    <w:lvl w:ilvl="8">
      <w:start w:val="0"/>
      <w:numFmt w:val="bullet"/>
      <w:lvlText w:val="•"/>
      <w:lvlJc w:val="left"/>
      <w:pPr>
        <w:ind w:left="6680" w:hanging="221"/>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fr-FR" w:eastAsia="en-US" w:bidi="ar-SA"/>
    </w:rPr>
  </w:style>
  <w:style w:styleId="BodyText" w:type="paragraph">
    <w:name w:val="Body Text"/>
    <w:basedOn w:val="Normal"/>
    <w:uiPriority w:val="1"/>
    <w:qFormat/>
    <w:pPr>
      <w:ind w:left="113"/>
    </w:pPr>
    <w:rPr>
      <w:rFonts w:ascii="Verdana" w:hAnsi="Verdana" w:eastAsia="Verdana" w:cs="Verdana"/>
      <w:sz w:val="20"/>
      <w:szCs w:val="20"/>
      <w:lang w:val="fr-FR" w:eastAsia="en-US" w:bidi="ar-SA"/>
    </w:rPr>
  </w:style>
  <w:style w:styleId="Heading1" w:type="paragraph">
    <w:name w:val="Heading 1"/>
    <w:basedOn w:val="Normal"/>
    <w:uiPriority w:val="1"/>
    <w:qFormat/>
    <w:pPr>
      <w:ind w:left="113" w:right="103"/>
      <w:outlineLvl w:val="1"/>
    </w:pPr>
    <w:rPr>
      <w:rFonts w:ascii="Verdana" w:hAnsi="Verdana" w:eastAsia="Verdana" w:cs="Verdana"/>
      <w:b/>
      <w:bCs/>
      <w:sz w:val="28"/>
      <w:szCs w:val="28"/>
      <w:lang w:val="fr-FR" w:eastAsia="en-US" w:bidi="ar-SA"/>
    </w:rPr>
  </w:style>
  <w:style w:styleId="Heading2" w:type="paragraph">
    <w:name w:val="Heading 2"/>
    <w:basedOn w:val="Normal"/>
    <w:uiPriority w:val="1"/>
    <w:qFormat/>
    <w:pPr>
      <w:ind w:left="473" w:hanging="398"/>
      <w:outlineLvl w:val="2"/>
    </w:pPr>
    <w:rPr>
      <w:rFonts w:ascii="Verdana" w:hAnsi="Verdana" w:eastAsia="Verdana" w:cs="Verdana"/>
      <w:i/>
      <w:iCs/>
      <w:sz w:val="28"/>
      <w:szCs w:val="28"/>
      <w:lang w:val="fr-FR" w:eastAsia="en-US" w:bidi="ar-SA"/>
    </w:rPr>
  </w:style>
  <w:style w:styleId="ListParagraph" w:type="paragraph">
    <w:name w:val="List Paragraph"/>
    <w:basedOn w:val="Normal"/>
    <w:uiPriority w:val="1"/>
    <w:qFormat/>
    <w:pPr>
      <w:ind w:left="473"/>
    </w:pPr>
    <w:rPr>
      <w:rFonts w:ascii="Verdana" w:hAnsi="Verdana" w:eastAsia="Verdana" w:cs="Verdana"/>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Dubecq Guillaume</dc:creator>
  <dcterms:created xsi:type="dcterms:W3CDTF">2023-12-05T09:32:23Z</dcterms:created>
  <dcterms:modified xsi:type="dcterms:W3CDTF">2023-12-05T09:32:23Z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2002-04-29T00:00:00Z</vt:filetime>
  </property>
  <property fmtid="{D5CDD505-2E9C-101B-9397-08002B2CF9AE}" pid="3" name="Creator">
    <vt:lpwstr>Microsoft Word 8.0</vt:lpwstr>
  </property>
  <property fmtid="{D5CDD505-2E9C-101B-9397-08002B2CF9AE}" pid="4" name="Producer">
    <vt:lpwstr>5D PDF Creator</vt:lpwstr>
  </property>
  <property fmtid="{D5CDD505-2E9C-101B-9397-08002B2CF9AE}" pid="5" name="LastSaved">
    <vt:filetime>2002-04-29T00:00:00Z</vt:filetime>
  </property>
</Properties>
</file>