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1B11"/>
          <w:sz w:val="72"/>
        </w:rPr>
        <w:t>ToTAL</w:t>
      </w:r>
    </w:p>
    <w:p>
      <w:pPr>
        <w:jc w:val="center"/>
      </w:pPr>
      <w:r>
        <w:rPr>
          <w:b/>
          <w:sz w:val="48"/>
        </w:rPr>
        <w:t>Le Centre d’excellence</w:t>
      </w:r>
    </w:p>
    <w:p>
      <w:pPr>
        <w:jc w:val="center"/>
      </w:pPr>
      <w:r>
        <w:rPr>
          <w:i/>
          <w:sz w:val="28"/>
        </w:rPr>
        <w:t>Diagnostic, maturité et pérennité de la maîtrise</w:t>
      </w:r>
    </w:p>
    <w:p>
      <w:pPr>
        <w:jc w:val="center"/>
      </w:pPr>
      <w:r>
        <w:rPr>
          <w:sz w:val="20"/>
        </w:rPr>
        <w:t>Version v1B — brouillon structurant</w:t>
      </w:r>
    </w:p>
    <w:p>
      <w:pPr>
        <w:jc w:val="center"/>
      </w:pPr>
      <w:r>
        <w:rPr>
          <w:sz w:val="22"/>
        </w:rPr>
        <w:t>Léo Michel Bélanger</w:t>
      </w:r>
    </w:p>
    <w:p>
      <w:pPr>
        <w:jc w:val="center"/>
      </w:pPr>
      <w:r>
        <w:rPr>
          <w:i/>
          <w:sz w:val="20"/>
        </w:rPr>
        <w:t>Compagnon terrain de ToTAL — L’art de réaliser un produit logiciel</w:t>
      </w:r>
    </w:p>
    <w:p>
      <w:r>
        <w:br w:type="page"/>
      </w:r>
    </w:p>
    <w:p>
      <w:pPr>
        <w:pStyle w:val="Heading1"/>
      </w:pPr>
      <w:r>
        <w:t>Comment utiliser ce livre</w:t>
      </w:r>
    </w:p>
    <w:p>
      <w:r>
        <w:t>Ce document est une v1B de travail pour le deuxième livre de la collection ToTAL. Le premier livre pose les fondations : l’art de réaliser un produit logiciel, la qualité holistique, la chaîne clarté → qualité → confiance → excellence durable, ainsi que la posture non dogmatique de ToTAL.</w:t>
      </w:r>
    </w:p>
    <w:p>
      <w:pPr>
        <w:pStyle w:val="PhraserepèreToTAL"/>
      </w:pPr>
      <w:r>
        <w:t>Important : ce livre évite volontairement de présenter les domaines et zones ToTAL comme une suite. Ils sont des angles de maîtrise qui se chevauchent, se répondent et se renforcent selon le contexte.</w:t>
      </w:r>
    </w:p>
    <w:p>
      <w:r>
        <w:t>Ce livre-ci répond à une autre question : comment faire pour que ToTAL ne reste pas seulement une bonne conversation, un atelier inspirant ou une intention de transformation, mais devienne une capacité durable dans l’organisation ?</w:t>
      </w:r>
    </w:p>
    <w:p>
      <w:r>
        <w:t>Il s’adresse aux coachs qualité, coachs Agile, gestionnaires de changement, responsables produit, architectes, responsables technologiques, équipes DevOps, équipes de soutien, gestionnaires et dirigeants qui veulent installer des fondations qualité utiles à l’automatisation, à l’intelligence artificielle et au passage à l’échelle.</w:t>
      </w:r>
    </w:p>
    <w:p>
      <w:pPr>
        <w:pStyle w:val="PhraserepèreToTAL"/>
      </w:pPr>
      <w:r>
        <w:t>Phrase repère : un Centre d’excellence ToTAL ne possède pas la maîtrise ; il aide l’organisation à la rendre visible, praticable et durable.</w:t>
      </w:r>
    </w:p>
    <w:p>
      <w:pPr>
        <w:pStyle w:val="Heading1"/>
      </w:pPr>
      <w:r>
        <w:t>Table des matières</w:t>
      </w:r>
    </w:p>
    <w:p>
      <w:r>
        <w:t>Prologue — Le jour où l’atelier ne suffit plus</w:t>
      </w:r>
    </w:p>
    <w:p>
      <w:r>
        <w:t>Introduction — Pourquoi un Centre d’excellence ToTAL ?</w:t>
      </w:r>
    </w:p>
    <w:p>
      <w:r>
        <w:t>Partie 1 — Entrer sans ajouter une méthode de plus</w:t>
      </w:r>
    </w:p>
    <w:p>
      <w:r>
        <w:t>Partie 2 — Le diagnostic ToTAL</w:t>
      </w:r>
    </w:p>
    <w:p>
      <w:r>
        <w:t>Partie 3 — Installer le Centre d’excellence ToTAL</w:t>
      </w:r>
    </w:p>
    <w:p>
      <w:r>
        <w:t>Partie 4 — Maturité ToTAL</w:t>
      </w:r>
    </w:p>
    <w:p>
      <w:r>
        <w:t>Partie 5 — Accompagner le changement</w:t>
      </w:r>
    </w:p>
    <w:p>
      <w:r>
        <w:t>Partie 6 — Pérennité et anti-retour</w:t>
      </w:r>
    </w:p>
    <w:p>
      <w:r>
        <w:t>Guide de référence — Canevas, rituels et fiches pratiques</w:t>
      </w:r>
    </w:p>
    <w:p>
      <w:r>
        <w:t>Conclusion — Quand la maîtrise devient une capacité vivante</w:t>
      </w:r>
    </w:p>
    <w:p>
      <w:r>
        <w:t>Annexes — Grilles rapides</w:t>
      </w:r>
    </w:p>
    <w:p>
      <w:r>
        <w:br w:type="page"/>
      </w:r>
    </w:p>
    <w:p>
      <w:pPr>
        <w:pStyle w:val="Heading1"/>
      </w:pPr>
      <w:r>
        <w:t>Prologue — Le jour où l’atelier ne suffit plus</w:t>
      </w:r>
    </w:p>
    <w:p>
      <w:r>
        <w:t>L’atelier avait bien fonctionné. Les personnes présentes avaient reconnu les symptômes : concepts supposés compris, décisions fragiles, métriques rassurantes mais peu utilisées, validations qui révélaient trop tard des conversations absentes, et confiance qui ne suivait pas toujours l’activité.</w:t>
      </w:r>
    </w:p>
    <w:p>
      <w:r>
        <w:t>Puis le quotidien est revenu. Les urgences, les échéances, les demandes concurrentes, les outils, les réunions et les anciennes habitudes ont repris leur place. La conversation ToTAL n’avait pas disparu, mais elle risquait de devenir un souvenir utile plutôt qu’une capacité durable.</w:t>
      </w:r>
    </w:p>
    <w:p>
      <w:pPr>
        <w:pStyle w:val="PhraserepèreToTAL"/>
      </w:pPr>
      <w:r>
        <w:t>Question fondatrice : comment faire pour que ToTAL ne devienne pas un événement inspirant, mais une capacité durable ?</w:t>
      </w:r>
    </w:p>
    <w:p>
      <w:pPr>
        <w:pStyle w:val="Heading1"/>
      </w:pPr>
      <w:r>
        <w:t>Introduction — Pourquoi un Centre d’excellence ToTAL ?</w:t>
      </w:r>
    </w:p>
    <w:p>
      <w:r>
        <w:t>Un Centre d’excellence ToTAL ne remplace pas les équipes. Il ne réalise pas à leur place. Il ne décide pas à la place de l’organisation. Il aide le système à mieux voir, mieux clarifier, mieux relier les signaux aux décisions et mieux préserver les apprentissages.</w:t>
      </w:r>
    </w:p>
    <w:p>
      <w:r>
        <w:t>Il devient particulièrement important lorsque l’organisation veut automatiser, utiliser l’intelligence artificielle ou passer à l’échelle. Plus un système accélère, plus la qualité de ses fondations devient déterminante.</w:t>
      </w:r>
    </w:p>
    <w:p>
      <w:pPr>
        <w:pStyle w:val="PhraserepèreToTAL"/>
      </w:pPr>
      <w:r>
        <w:t>Phrase repère : un Centre d’excellence ToTAL n’existe pas pour imposer une méthode. Il existe pour empêcher la maîtrise de redevenir invisible.</w:t>
      </w:r>
    </w:p>
    <w:p>
      <w:pPr>
        <w:pStyle w:val="Heading1"/>
      </w:pPr>
      <w:r>
        <w:t>Partie 1 — Entrer sans ajouter une méthode de plus</w:t>
      </w:r>
    </w:p>
    <w:p>
      <w:pPr>
        <w:pStyle w:val="Heading2"/>
      </w:pPr>
      <w:r>
        <w:t>Chapitre 1 — Lire l’organisation avant d’intervenir</w:t>
      </w:r>
    </w:p>
    <w:p>
      <w:r>
        <w:t>Lire l’organisation, c’est reconnaître son histoire avant de proposer une réponse : transformations précédentes, succès, blessures, silos, urgences, dépendances, fatigue, réputation qualité, dette technique et décisions fragiles.</w:t>
      </w:r>
    </w:p>
    <w:p>
      <w:pPr>
        <w:pStyle w:val="ListBullet"/>
      </w:pPr>
      <w:r>
        <w:t>Quelle douleur qualité est reconnue par plusieurs rôles ?</w:t>
      </w:r>
    </w:p>
    <w:p>
      <w:pPr>
        <w:pStyle w:val="ListBullet"/>
      </w:pPr>
      <w:r>
        <w:t>Quel mot semble partagé mais produit des décisions différentes ?</w:t>
      </w:r>
    </w:p>
    <w:p>
      <w:pPr>
        <w:pStyle w:val="ListBullet"/>
      </w:pPr>
      <w:r>
        <w:t>Quel signal arrive toujours trop tard ?</w:t>
      </w:r>
    </w:p>
    <w:p>
      <w:pPr>
        <w:pStyle w:val="ListBullet"/>
      </w:pPr>
      <w:r>
        <w:t>Quelle pratique est très présente mais améliore peu les décisions ?</w:t>
      </w:r>
    </w:p>
    <w:p>
      <w:pPr>
        <w:pStyle w:val="Heading2"/>
      </w:pPr>
      <w:r>
        <w:t>Chapitre 2 — La posture du coach ToTAL</w:t>
      </w:r>
    </w:p>
    <w:p>
      <w:r>
        <w:t>Le coach ToTAL agit comme facilitateur de maîtrise. Il aide à ralentir au bon endroit, à poser la bonne question, à rendre visible ce qui était implicite et à transformer un flou accepté en décision plus claire.</w:t>
      </w:r>
    </w:p>
    <w:p>
      <w:pPr>
        <w:pStyle w:val="Heading2"/>
      </w:pPr>
      <w:r>
        <w:t>Chapitre 3 — Choisir le bon premier terrain</w:t>
      </w:r>
    </w:p>
    <w:p>
      <w:pPr>
        <w:pStyle w:val="ListBullet"/>
      </w:pPr>
      <w:r>
        <w:t>Une release anxieuse.</w:t>
      </w:r>
    </w:p>
    <w:p>
      <w:pPr>
        <w:pStyle w:val="ListBullet"/>
      </w:pPr>
      <w:r>
        <w:t>Une capacité importante mais floue.</w:t>
      </w:r>
    </w:p>
    <w:p>
      <w:pPr>
        <w:pStyle w:val="ListBullet"/>
      </w:pPr>
      <w:r>
        <w:t>Un incident récent qui revient sous plusieurs formes.</w:t>
      </w:r>
    </w:p>
    <w:p>
      <w:pPr>
        <w:pStyle w:val="ListBullet"/>
      </w:pPr>
      <w:r>
        <w:t>Un backlog plein mais difficile à relier à la valeur.</w:t>
      </w:r>
    </w:p>
    <w:p>
      <w:pPr>
        <w:pStyle w:val="ListBullet"/>
      </w:pPr>
      <w:r>
        <w:t>Une initiative d’automatisation qui manque de critères clairs.</w:t>
      </w:r>
    </w:p>
    <w:p>
      <w:pPr>
        <w:pStyle w:val="ListBullet"/>
      </w:pPr>
      <w:r>
        <w:t>Un cas d’usage IA proposé trop tôt.</w:t>
      </w:r>
    </w:p>
    <w:p>
      <w:pPr>
        <w:pStyle w:val="Heading1"/>
      </w:pPr>
      <w:r>
        <w:t>Partie 2 — Le diagnostic ToTAL</w:t>
      </w:r>
    </w:p>
    <w:p>
      <w:r>
        <w:t>Le diagnostic ToTAL n’est pas un audit de conformité, une certification ou une recherche de coupables. Il sert à établir un portrait initial de maîtrise.</w:t>
      </w:r>
    </w:p>
    <w:p>
      <w:pPr>
        <w:pStyle w:val="Heading2"/>
      </w:pPr>
      <w:r>
        <w:t>Chapitre 4 — Le portrait initial de maîtrise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Axe</w:t>
            </w:r>
          </w:p>
        </w:tc>
        <w:tc>
          <w:tcPr>
            <w:tcW w:type="dxa" w:w="2880"/>
          </w:tcPr>
          <w:p>
            <w:r>
              <w:rPr>
                <w:b/>
              </w:rPr>
              <w:t>Ce que l’on observe</w:t>
            </w:r>
          </w:p>
        </w:tc>
        <w:tc>
          <w:tcPr>
            <w:tcW w:type="dxa" w:w="2880"/>
          </w:tcPr>
          <w:p>
            <w:r>
              <w:rPr>
                <w:b/>
              </w:rPr>
              <w:t>Question clé</w:t>
            </w:r>
          </w:p>
        </w:tc>
      </w:tr>
      <w:tr>
        <w:tc>
          <w:tcPr>
            <w:tcW w:type="dxa" w:w="2880"/>
            <w:vAlign w:val="top"/>
          </w:tcPr>
          <w:p>
            <w:r>
              <w:t>Clarté</w:t>
            </w:r>
          </w:p>
        </w:tc>
        <w:tc>
          <w:tcPr>
            <w:tcW w:type="dxa" w:w="2880"/>
            <w:vAlign w:val="top"/>
          </w:tcPr>
          <w:p>
            <w:r>
              <w:t>Mots flous, besoins ambigus, valeur difficile à expliquer.</w:t>
            </w:r>
          </w:p>
        </w:tc>
        <w:tc>
          <w:tcPr>
            <w:tcW w:type="dxa" w:w="2880"/>
            <w:vAlign w:val="top"/>
          </w:tcPr>
          <w:p>
            <w:r>
              <w:t>Qu’est-ce qui est supposé clair mais ne l’est pas ?</w:t>
            </w:r>
          </w:p>
        </w:tc>
      </w:tr>
      <w:tr>
        <w:tc>
          <w:tcPr>
            <w:tcW w:type="dxa" w:w="2880"/>
            <w:vAlign w:val="top"/>
          </w:tcPr>
          <w:p>
            <w:r>
              <w:t>Spécification</w:t>
            </w:r>
          </w:p>
        </w:tc>
        <w:tc>
          <w:tcPr>
            <w:tcW w:type="dxa" w:w="2880"/>
            <w:vAlign w:val="top"/>
          </w:tcPr>
          <w:p>
            <w:r>
              <w:t>Critères faibles, exemples absents, validations tardives.</w:t>
            </w:r>
          </w:p>
        </w:tc>
        <w:tc>
          <w:tcPr>
            <w:tcW w:type="dxa" w:w="2880"/>
            <w:vAlign w:val="top"/>
          </w:tcPr>
          <w:p>
            <w:r>
              <w:t>Quelle attente doit devenir observable et testable ?</w:t>
            </w:r>
          </w:p>
        </w:tc>
      </w:tr>
      <w:tr>
        <w:tc>
          <w:tcPr>
            <w:tcW w:type="dxa" w:w="2880"/>
            <w:vAlign w:val="top"/>
          </w:tcPr>
          <w:p>
            <w:r>
              <w:t>Validation</w:t>
            </w:r>
          </w:p>
        </w:tc>
        <w:tc>
          <w:tcPr>
            <w:tcW w:type="dxa" w:w="2880"/>
            <w:vAlign w:val="top"/>
          </w:tcPr>
          <w:p>
            <w:r>
              <w:t>Preuves dispersées, définition de “Done” variable.</w:t>
            </w:r>
          </w:p>
        </w:tc>
        <w:tc>
          <w:tcPr>
            <w:tcW w:type="dxa" w:w="2880"/>
            <w:vAlign w:val="top"/>
          </w:tcPr>
          <w:p>
            <w:r>
              <w:t>Quelle confiance construisons-nous et quand ?</w:t>
            </w:r>
          </w:p>
        </w:tc>
      </w:tr>
      <w:tr>
        <w:tc>
          <w:tcPr>
            <w:tcW w:type="dxa" w:w="2880"/>
            <w:vAlign w:val="top"/>
          </w:tcPr>
          <w:p>
            <w:r>
              <w:t>Signaux</w:t>
            </w:r>
          </w:p>
        </w:tc>
        <w:tc>
          <w:tcPr>
            <w:tcW w:type="dxa" w:w="2880"/>
            <w:vAlign w:val="top"/>
          </w:tcPr>
          <w:p>
            <w:r>
              <w:t>Métriques décoratives, tableaux de bord peu décisionnels.</w:t>
            </w:r>
          </w:p>
        </w:tc>
        <w:tc>
          <w:tcPr>
            <w:tcW w:type="dxa" w:w="2880"/>
            <w:vAlign w:val="top"/>
          </w:tcPr>
          <w:p>
            <w:r>
              <w:t>Quel signal changerait réellement une décision ?</w:t>
            </w:r>
          </w:p>
        </w:tc>
      </w:tr>
      <w:tr>
        <w:tc>
          <w:tcPr>
            <w:tcW w:type="dxa" w:w="2880"/>
            <w:vAlign w:val="top"/>
          </w:tcPr>
          <w:p>
            <w:r>
              <w:t>Apprentissage</w:t>
            </w:r>
          </w:p>
        </w:tc>
        <w:tc>
          <w:tcPr>
            <w:tcW w:type="dxa" w:w="2880"/>
            <w:vAlign w:val="top"/>
          </w:tcPr>
          <w:p>
            <w:r>
              <w:t>Incidents corrigés mais non réinjectés.</w:t>
            </w:r>
          </w:p>
        </w:tc>
        <w:tc>
          <w:tcPr>
            <w:tcW w:type="dxa" w:w="2880"/>
            <w:vAlign w:val="top"/>
          </w:tcPr>
          <w:p>
            <w:r>
              <w:t>Quel apprentissage doit modifier la prochaine décision ?</w:t>
            </w:r>
          </w:p>
        </w:tc>
      </w:tr>
      <w:tr>
        <w:tc>
          <w:tcPr>
            <w:tcW w:type="dxa" w:w="2880"/>
            <w:vAlign w:val="top"/>
          </w:tcPr>
          <w:p>
            <w:r>
              <w:t>Automatisation</w:t>
            </w:r>
          </w:p>
        </w:tc>
        <w:tc>
          <w:tcPr>
            <w:tcW w:type="dxa" w:w="2880"/>
            <w:vAlign w:val="top"/>
          </w:tcPr>
          <w:p>
            <w:r>
              <w:t>Tests fragiles, comportements mal compris.</w:t>
            </w:r>
          </w:p>
        </w:tc>
        <w:tc>
          <w:tcPr>
            <w:tcW w:type="dxa" w:w="2880"/>
            <w:vAlign w:val="top"/>
          </w:tcPr>
          <w:p>
            <w:r>
              <w:t>Quelle clarté manque avant d’automatiser ?</w:t>
            </w:r>
          </w:p>
        </w:tc>
      </w:tr>
      <w:tr>
        <w:tc>
          <w:tcPr>
            <w:tcW w:type="dxa" w:w="2880"/>
            <w:vAlign w:val="top"/>
          </w:tcPr>
          <w:p>
            <w:r>
              <w:t>IA</w:t>
            </w:r>
          </w:p>
        </w:tc>
        <w:tc>
          <w:tcPr>
            <w:tcW w:type="dxa" w:w="2880"/>
            <w:vAlign w:val="top"/>
          </w:tcPr>
          <w:p>
            <w:r>
              <w:t>Prompts flous, critères absents, validation humaine faible.</w:t>
            </w:r>
          </w:p>
        </w:tc>
        <w:tc>
          <w:tcPr>
            <w:tcW w:type="dxa" w:w="2880"/>
            <w:vAlign w:val="top"/>
          </w:tcPr>
          <w:p>
            <w:r>
              <w:t>Qu’allons-nous amplifier exactement ?</w:t>
            </w:r>
          </w:p>
        </w:tc>
      </w:tr>
    </w:tbl>
    <w:p/>
    <w:p>
      <w:pPr>
        <w:pStyle w:val="Heading2"/>
      </w:pPr>
      <w:r>
        <w:t>Chapitre 5 — Diagnostic des concepts</w:t>
      </w:r>
    </w:p>
    <w:p>
      <w:pPr>
        <w:pStyle w:val="ListNumber"/>
      </w:pPr>
      <w:r>
        <w:t>Choisir un concept qui crée des décisions ambiguës.</w:t>
      </w:r>
    </w:p>
    <w:p>
      <w:pPr>
        <w:pStyle w:val="ListNumber"/>
      </w:pPr>
      <w:r>
        <w:t>Demander à trois rôles de le définir sans se consulter.</w:t>
      </w:r>
    </w:p>
    <w:p>
      <w:pPr>
        <w:pStyle w:val="ListNumber"/>
      </w:pPr>
      <w:r>
        <w:t>Comparer les écarts sans chercher immédiatement un consensus.</w:t>
      </w:r>
    </w:p>
    <w:p>
      <w:pPr>
        <w:pStyle w:val="ListNumber"/>
      </w:pPr>
      <w:r>
        <w:t>Écrire une définition opérationnelle adaptée au contexte.</w:t>
      </w:r>
    </w:p>
    <w:p>
      <w:pPr>
        <w:pStyle w:val="ListNumber"/>
      </w:pPr>
      <w:r>
        <w:t>Ajouter un exemple, un contre-exemple et une décision que cette définition doit aider à prendre.</w:t>
      </w:r>
    </w:p>
    <w:p>
      <w:pPr>
        <w:pStyle w:val="Heading2"/>
      </w:pPr>
      <w:r>
        <w:t>Chapitre 6 — Diagnostic des décisions</w:t>
      </w:r>
    </w:p>
    <w:p>
      <w:pPr>
        <w:pStyle w:val="ListBullet"/>
      </w:pPr>
      <w:r>
        <w:t>Décider quoi réaliser en premier.</w:t>
      </w:r>
    </w:p>
    <w:p>
      <w:pPr>
        <w:pStyle w:val="ListBullet"/>
      </w:pPr>
      <w:r>
        <w:t>Décider si une release est prête.</w:t>
      </w:r>
    </w:p>
    <w:p>
      <w:pPr>
        <w:pStyle w:val="ListBullet"/>
      </w:pPr>
      <w:r>
        <w:t>Décider quel risque accepter.</w:t>
      </w:r>
    </w:p>
    <w:p>
      <w:pPr>
        <w:pStyle w:val="ListBullet"/>
      </w:pPr>
      <w:r>
        <w:t>Décider quoi automatiser.</w:t>
      </w:r>
    </w:p>
    <w:p>
      <w:pPr>
        <w:pStyle w:val="ListBullet"/>
      </w:pPr>
      <w:r>
        <w:t>Décider ce que l’IA peut assister.</w:t>
      </w:r>
    </w:p>
    <w:p>
      <w:pPr>
        <w:pStyle w:val="ListBullet"/>
      </w:pPr>
      <w:r>
        <w:t>Décider où réinjecter un apprentissage après incident.</w:t>
      </w:r>
    </w:p>
    <w:p>
      <w:pPr>
        <w:pStyle w:val="Heading2"/>
      </w:pPr>
      <w:r>
        <w:t>Chapitre 7 — Diagnostic des spécifications</w:t>
      </w:r>
    </w:p>
    <w:p>
      <w:pPr>
        <w:pStyle w:val="PhraserepèreToTAL"/>
      </w:pPr>
      <w:r>
        <w:t>Repère : une story organise une partie du travail ; une spécification rend une attente testable.</w:t>
      </w:r>
    </w:p>
    <w:p>
      <w:pPr>
        <w:pStyle w:val="ListBullet"/>
      </w:pPr>
      <w:r>
        <w:t>Les attentes importantes peuvent-elles être formulées en SI / ALORS ?</w:t>
      </w:r>
    </w:p>
    <w:p>
      <w:pPr>
        <w:pStyle w:val="ListBullet"/>
      </w:pPr>
      <w:r>
        <w:t>Les exemples et contre-exemples existent-ils ?</w:t>
      </w:r>
    </w:p>
    <w:p>
      <w:pPr>
        <w:pStyle w:val="ListBullet"/>
      </w:pPr>
      <w:r>
        <w:t>Les tests expriment-ils une attente claire ou une interprétation tardive ?</w:t>
      </w:r>
    </w:p>
    <w:p>
      <w:pPr>
        <w:pStyle w:val="ListBullet"/>
      </w:pPr>
      <w:r>
        <w:t>Les spécifications techniques, applicatives, opérationnelles et machine sont-elles visibles ?</w:t>
      </w:r>
    </w:p>
    <w:p>
      <w:pPr>
        <w:pStyle w:val="Heading2"/>
      </w:pPr>
      <w:r>
        <w:t>Chapitre 8 — Diagnostic des signaux et de la qualimétrie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Exemple faible</w:t>
            </w:r>
          </w:p>
        </w:tc>
        <w:tc>
          <w:tcPr>
            <w:tcW w:type="dxa" w:w="2880"/>
          </w:tcPr>
          <w:p>
            <w:r>
              <w:rPr>
                <w:b/>
              </w:rPr>
              <w:t>Exemple ToTAL</w:t>
            </w:r>
          </w:p>
        </w:tc>
      </w:tr>
      <w:tr>
        <w:tc>
          <w:tcPr>
            <w:tcW w:type="dxa" w:w="2880"/>
            <w:vAlign w:val="top"/>
          </w:tcPr>
          <w:p>
            <w:r>
              <w:t>Métrique décorative</w:t>
            </w:r>
          </w:p>
        </w:tc>
        <w:tc>
          <w:tcPr>
            <w:tcW w:type="dxa" w:w="2880"/>
            <w:vAlign w:val="top"/>
          </w:tcPr>
          <w:p>
            <w:r>
              <w:t>Nombre de tests automatisés.</w:t>
            </w:r>
          </w:p>
        </w:tc>
        <w:tc>
          <w:tcPr>
            <w:tcW w:type="dxa" w:w="2880"/>
            <w:vAlign w:val="top"/>
          </w:tcPr>
          <w:p>
            <w:r>
              <w:t>Comportements critiques reliés à une attente claire et une décision de confiance.</w:t>
            </w:r>
          </w:p>
        </w:tc>
      </w:tr>
      <w:tr>
        <w:tc>
          <w:tcPr>
            <w:tcW w:type="dxa" w:w="2880"/>
            <w:vAlign w:val="top"/>
          </w:tcPr>
          <w:p>
            <w:r>
              <w:t>Signal de clarté</w:t>
            </w:r>
          </w:p>
        </w:tc>
        <w:tc>
          <w:tcPr>
            <w:tcW w:type="dxa" w:w="2880"/>
            <w:vAlign w:val="top"/>
          </w:tcPr>
          <w:p>
            <w:r>
              <w:t>Nombre d’exigences écrites.</w:t>
            </w:r>
          </w:p>
        </w:tc>
        <w:tc>
          <w:tcPr>
            <w:tcW w:type="dxa" w:w="2880"/>
            <w:vAlign w:val="top"/>
          </w:tcPr>
          <w:p>
            <w:r>
              <w:t>Attentes critiques avec exemple et contre-exemple validés.</w:t>
            </w:r>
          </w:p>
        </w:tc>
      </w:tr>
      <w:tr>
        <w:tc>
          <w:tcPr>
            <w:tcW w:type="dxa" w:w="2880"/>
            <w:vAlign w:val="top"/>
          </w:tcPr>
          <w:p>
            <w:r>
              <w:t>Signal de confiance</w:t>
            </w:r>
          </w:p>
        </w:tc>
        <w:tc>
          <w:tcPr>
            <w:tcW w:type="dxa" w:w="2880"/>
            <w:vAlign w:val="top"/>
          </w:tcPr>
          <w:p>
            <w:r>
              <w:t>Tableau de bord vert.</w:t>
            </w:r>
          </w:p>
        </w:tc>
        <w:tc>
          <w:tcPr>
            <w:tcW w:type="dxa" w:w="2880"/>
            <w:vAlign w:val="top"/>
          </w:tcPr>
          <w:p>
            <w:r>
              <w:t>Signal qui change explicitement une décision de diffusion ou de risque.</w:t>
            </w:r>
          </w:p>
        </w:tc>
      </w:tr>
      <w:tr>
        <w:tc>
          <w:tcPr>
            <w:tcW w:type="dxa" w:w="2880"/>
            <w:vAlign w:val="top"/>
          </w:tcPr>
          <w:p>
            <w:r>
              <w:t>Signal d’apprentissage</w:t>
            </w:r>
          </w:p>
        </w:tc>
        <w:tc>
          <w:tcPr>
            <w:tcW w:type="dxa" w:w="2880"/>
            <w:vAlign w:val="top"/>
          </w:tcPr>
          <w:p>
            <w:r>
              <w:t>Nombre d’incidents fermés.</w:t>
            </w:r>
          </w:p>
        </w:tc>
        <w:tc>
          <w:tcPr>
            <w:tcW w:type="dxa" w:w="2880"/>
            <w:vAlign w:val="top"/>
          </w:tcPr>
          <w:p>
            <w:r>
              <w:t>Incidents ayant modifié une spécification, un test, un signal ou une décision.</w:t>
            </w:r>
          </w:p>
        </w:tc>
      </w:tr>
    </w:tbl>
    <w:p/>
    <w:p>
      <w:pPr>
        <w:pStyle w:val="Heading1"/>
      </w:pPr>
      <w:r>
        <w:t>Partie 3 — Installer le Centre d’excellence ToTAL</w:t>
      </w:r>
    </w:p>
    <w:p>
      <w:pPr>
        <w:pStyle w:val="Heading2"/>
      </w:pPr>
      <w:r>
        <w:t>Chapitre 9 — Mission du Centre d’excellence</w:t>
      </w:r>
    </w:p>
    <w:p>
      <w:pPr>
        <w:pStyle w:val="ListBullet"/>
      </w:pPr>
      <w:r>
        <w:t>Préserver les principes ToTAL sans dogmatisme.</w:t>
      </w:r>
    </w:p>
    <w:p>
      <w:pPr>
        <w:pStyle w:val="ListBullet"/>
      </w:pPr>
      <w:r>
        <w:t>Soutenir les équipes dans les clarifications difficiles.</w:t>
      </w:r>
    </w:p>
    <w:p>
      <w:pPr>
        <w:pStyle w:val="ListBullet"/>
      </w:pPr>
      <w:r>
        <w:t>Animer les diagnostics et portraits de maîtrise.</w:t>
      </w:r>
    </w:p>
    <w:p>
      <w:pPr>
        <w:pStyle w:val="ListBullet"/>
      </w:pPr>
      <w:r>
        <w:t>Développer la qualimétrie utile aux décisions.</w:t>
      </w:r>
    </w:p>
    <w:p>
      <w:pPr>
        <w:pStyle w:val="ListBullet"/>
      </w:pPr>
      <w:r>
        <w:t>Faire circuler les apprentissages entre produits et équipes.</w:t>
      </w:r>
    </w:p>
    <w:p>
      <w:pPr>
        <w:pStyle w:val="ListBullet"/>
      </w:pPr>
      <w:r>
        <w:t>Préparer les fondations pour l’automatisation et l’IA.</w:t>
      </w:r>
    </w:p>
    <w:p>
      <w:pPr>
        <w:pStyle w:val="Heading2"/>
      </w:pPr>
      <w:r>
        <w:t>Chapitre 10 — Les rôles catalyseurs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Rôle</w:t>
            </w:r>
          </w:p>
        </w:tc>
        <w:tc>
          <w:tcPr>
            <w:tcW w:type="dxa" w:w="4320"/>
          </w:tcPr>
          <w:p>
            <w:r>
              <w:rPr>
                <w:b/>
              </w:rPr>
              <w:t>Contribution ToTAL</w:t>
            </w:r>
          </w:p>
        </w:tc>
      </w:tr>
      <w:tr>
        <w:tc>
          <w:tcPr>
            <w:tcW w:type="dxa" w:w="4320"/>
            <w:vAlign w:val="top"/>
          </w:tcPr>
          <w:p>
            <w:r>
              <w:t>Coach qualité</w:t>
            </w:r>
          </w:p>
        </w:tc>
        <w:tc>
          <w:tcPr>
            <w:tcW w:type="dxa" w:w="4320"/>
            <w:vAlign w:val="top"/>
          </w:tcPr>
          <w:p>
            <w:r>
              <w:t>Facilite le portrait partagé de maîtrise.</w:t>
            </w:r>
          </w:p>
        </w:tc>
      </w:tr>
      <w:tr>
        <w:tc>
          <w:tcPr>
            <w:tcW w:type="dxa" w:w="4320"/>
            <w:vAlign w:val="top"/>
          </w:tcPr>
          <w:p>
            <w:r>
              <w:t>Coach Agile</w:t>
            </w:r>
          </w:p>
        </w:tc>
        <w:tc>
          <w:tcPr>
            <w:tcW w:type="dxa" w:w="4320"/>
            <w:vAlign w:val="top"/>
          </w:tcPr>
          <w:p>
            <w:r>
              <w:t>S’appuie sur les fondations qualité pour améliorer backlog, planification, rituels et passage à l’échelle.</w:t>
            </w:r>
          </w:p>
        </w:tc>
      </w:tr>
      <w:tr>
        <w:tc>
          <w:tcPr>
            <w:tcW w:type="dxa" w:w="4320"/>
            <w:vAlign w:val="top"/>
          </w:tcPr>
          <w:p>
            <w:r>
              <w:t>Gestionnaire de changement</w:t>
            </w:r>
          </w:p>
        </w:tc>
        <w:tc>
          <w:tcPr>
            <w:tcW w:type="dxa" w:w="4320"/>
            <w:vAlign w:val="top"/>
          </w:tcPr>
          <w:p>
            <w:r>
              <w:t>Protège l’adoption contre l’effet “méthode de plus”.</w:t>
            </w:r>
          </w:p>
        </w:tc>
      </w:tr>
      <w:tr>
        <w:tc>
          <w:tcPr>
            <w:tcW w:type="dxa" w:w="4320"/>
            <w:vAlign w:val="top"/>
          </w:tcPr>
          <w:p>
            <w:r>
              <w:t>Architecte / tech lead</w:t>
            </w:r>
          </w:p>
        </w:tc>
        <w:tc>
          <w:tcPr>
            <w:tcW w:type="dxa" w:w="4320"/>
            <w:vAlign w:val="top"/>
          </w:tcPr>
          <w:p>
            <w:r>
              <w:t>Rend visibles décisions techniques, contraintes, dépendances et signaux systémiques.</w:t>
            </w:r>
          </w:p>
        </w:tc>
      </w:tr>
      <w:tr>
        <w:tc>
          <w:tcPr>
            <w:tcW w:type="dxa" w:w="4320"/>
            <w:vAlign w:val="top"/>
          </w:tcPr>
          <w:p>
            <w:r>
              <w:t>DevOps / opérations</w:t>
            </w:r>
          </w:p>
        </w:tc>
        <w:tc>
          <w:tcPr>
            <w:tcW w:type="dxa" w:w="4320"/>
            <w:vAlign w:val="top"/>
          </w:tcPr>
          <w:p>
            <w:r>
              <w:t>Relie livraison, observabilité, incidents, signaux et apprentissages.</w:t>
            </w:r>
          </w:p>
        </w:tc>
      </w:tr>
      <w:tr>
        <w:tc>
          <w:tcPr>
            <w:tcW w:type="dxa" w:w="4320"/>
            <w:vAlign w:val="top"/>
          </w:tcPr>
          <w:p>
            <w:r>
              <w:t>Support</w:t>
            </w:r>
          </w:p>
        </w:tc>
        <w:tc>
          <w:tcPr>
            <w:tcW w:type="dxa" w:w="4320"/>
            <w:vAlign w:val="top"/>
          </w:tcPr>
          <w:p>
            <w:r>
              <w:t>Fait remonter le réel, les irritants, les contournements et les signaux faibles.</w:t>
            </w:r>
          </w:p>
        </w:tc>
      </w:tr>
    </w:tbl>
    <w:p/>
    <w:p>
      <w:pPr>
        <w:pStyle w:val="Heading2"/>
      </w:pPr>
      <w:r>
        <w:t>Chapitre 11 — Gouvernance légère</w:t>
      </w:r>
    </w:p>
    <w:p>
      <w:r>
        <w:t>La gouvernance ToTAL doit rester proportionnée. Elle doit aider à voir, pas ralentir pour rassurer.</w:t>
      </w:r>
    </w:p>
    <w:p>
      <w:pPr>
        <w:pStyle w:val="Heading2"/>
      </w:pPr>
      <w:r>
        <w:t>Chapitre 12 — Catalogue de services ToTAL</w:t>
      </w:r>
    </w:p>
    <w:p>
      <w:pPr>
        <w:pStyle w:val="ListBullet"/>
      </w:pPr>
      <w:r>
        <w:t>Atelier de clarification.</w:t>
      </w:r>
    </w:p>
    <w:p>
      <w:pPr>
        <w:pStyle w:val="ListBullet"/>
      </w:pPr>
      <w:r>
        <w:t>Clinique de spécification.</w:t>
      </w:r>
    </w:p>
    <w:p>
      <w:pPr>
        <w:pStyle w:val="ListBullet"/>
      </w:pPr>
      <w:r>
        <w:t>Revue de définition “Done”.</w:t>
      </w:r>
    </w:p>
    <w:p>
      <w:pPr>
        <w:pStyle w:val="ListBullet"/>
      </w:pPr>
      <w:r>
        <w:t>Diagnostic de qualimétrie.</w:t>
      </w:r>
    </w:p>
    <w:p>
      <w:pPr>
        <w:pStyle w:val="ListBullet"/>
      </w:pPr>
      <w:r>
        <w:t>Rétro ToTAL après incident.</w:t>
      </w:r>
    </w:p>
    <w:p>
      <w:pPr>
        <w:pStyle w:val="ListBullet"/>
      </w:pPr>
      <w:r>
        <w:t>Revue de release.</w:t>
      </w:r>
    </w:p>
    <w:p>
      <w:pPr>
        <w:pStyle w:val="ListBullet"/>
      </w:pPr>
      <w:r>
        <w:t>Diagnostic automatisation.</w:t>
      </w:r>
    </w:p>
    <w:p>
      <w:pPr>
        <w:pStyle w:val="ListBullet"/>
      </w:pPr>
      <w:r>
        <w:t>Diagnostic IA : clarifier avant d’amplifier.</w:t>
      </w:r>
    </w:p>
    <w:p>
      <w:pPr>
        <w:pStyle w:val="Heading1"/>
      </w:pPr>
      <w:r>
        <w:t>Partie 4 — Maturité ToTAL</w:t>
      </w:r>
    </w:p>
    <w:p>
      <w:r>
        <w:t>La maturité ToTAL n’est pas une note pour juger les équipes. C’est une trajectoire pour choisir le prochain meilleur pas.</w:t>
      </w:r>
    </w:p>
    <w:p>
      <w:pPr>
        <w:pStyle w:val="Heading2"/>
      </w:pPr>
      <w:r>
        <w:t>Chapitre 13 — Maturité sans dogmatisme</w:t>
      </w:r>
    </w:p>
    <w:p>
      <w:r>
        <w:t>La maturité sert à orienter l’aide. Elle indique où la prochaine clarification peut avoir le plus d’effet.</w:t>
      </w:r>
    </w:p>
    <w:p>
      <w:pPr>
        <w:pStyle w:val="Heading2"/>
      </w:pPr>
      <w:r>
        <w:t>Chapitre 14 — Les niveaux de maturité ToTAL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Niveau</w:t>
            </w:r>
          </w:p>
        </w:tc>
        <w:tc>
          <w:tcPr>
            <w:tcW w:type="dxa" w:w="2880"/>
          </w:tcPr>
          <w:p>
            <w:r>
              <w:rPr>
                <w:b/>
              </w:rPr>
              <w:t>Nom</w:t>
            </w:r>
          </w:p>
        </w:tc>
        <w:tc>
          <w:tcPr>
            <w:tcW w:type="dxa" w:w="2880"/>
          </w:tcPr>
          <w:p>
            <w:r>
              <w:rPr>
                <w:b/>
              </w:rPr>
              <w:t>Description</w:t>
            </w:r>
          </w:p>
        </w:tc>
      </w:tr>
      <w:tr>
        <w:tc>
          <w:tcPr>
            <w:tcW w:type="dxa" w:w="2880"/>
            <w:vAlign w:val="top"/>
          </w:tcPr>
          <w:p>
            <w:r>
              <w:t>1</w:t>
            </w:r>
          </w:p>
        </w:tc>
        <w:tc>
          <w:tcPr>
            <w:tcW w:type="dxa" w:w="2880"/>
            <w:vAlign w:val="top"/>
          </w:tcPr>
          <w:p>
            <w:r>
              <w:t>Réactif</w:t>
            </w:r>
          </w:p>
        </w:tc>
        <w:tc>
          <w:tcPr>
            <w:tcW w:type="dxa" w:w="2880"/>
            <w:vAlign w:val="top"/>
          </w:tcPr>
          <w:p>
            <w:r>
              <w:t>On corrige après coup.</w:t>
            </w:r>
          </w:p>
        </w:tc>
      </w:tr>
      <w:tr>
        <w:tc>
          <w:tcPr>
            <w:tcW w:type="dxa" w:w="2880"/>
            <w:vAlign w:val="top"/>
          </w:tcPr>
          <w:p>
            <w:r>
              <w:t>2</w:t>
            </w:r>
          </w:p>
        </w:tc>
        <w:tc>
          <w:tcPr>
            <w:tcW w:type="dxa" w:w="2880"/>
            <w:vAlign w:val="top"/>
          </w:tcPr>
          <w:p>
            <w:r>
              <w:t>Clarification locale</w:t>
            </w:r>
          </w:p>
        </w:tc>
        <w:tc>
          <w:tcPr>
            <w:tcW w:type="dxa" w:w="2880"/>
            <w:vAlign w:val="top"/>
          </w:tcPr>
          <w:p>
            <w:r>
              <w:t>L’équipe clarifie certains concepts, critères, incidents et décisions.</w:t>
            </w:r>
          </w:p>
        </w:tc>
      </w:tr>
      <w:tr>
        <w:tc>
          <w:tcPr>
            <w:tcW w:type="dxa" w:w="2880"/>
            <w:vAlign w:val="top"/>
          </w:tcPr>
          <w:p>
            <w:r>
              <w:t>3</w:t>
            </w:r>
          </w:p>
        </w:tc>
        <w:tc>
          <w:tcPr>
            <w:tcW w:type="dxa" w:w="2880"/>
            <w:vAlign w:val="top"/>
          </w:tcPr>
          <w:p>
            <w:r>
              <w:t>Spécification praticable</w:t>
            </w:r>
          </w:p>
        </w:tc>
        <w:tc>
          <w:tcPr>
            <w:tcW w:type="dxa" w:w="2880"/>
            <w:vAlign w:val="top"/>
          </w:tcPr>
          <w:p>
            <w:r>
              <w:t>Les attentes importantes deviennent observables, testables et réutilisables.</w:t>
            </w:r>
          </w:p>
        </w:tc>
      </w:tr>
      <w:tr>
        <w:tc>
          <w:tcPr>
            <w:tcW w:type="dxa" w:w="2880"/>
            <w:vAlign w:val="top"/>
          </w:tcPr>
          <w:p>
            <w:r>
              <w:t>4</w:t>
            </w:r>
          </w:p>
        </w:tc>
        <w:tc>
          <w:tcPr>
            <w:tcW w:type="dxa" w:w="2880"/>
            <w:vAlign w:val="top"/>
          </w:tcPr>
          <w:p>
            <w:r>
              <w:t>Automatisation fondée</w:t>
            </w:r>
          </w:p>
        </w:tc>
        <w:tc>
          <w:tcPr>
            <w:tcW w:type="dxa" w:w="2880"/>
            <w:vAlign w:val="top"/>
          </w:tcPr>
          <w:p>
            <w:r>
              <w:t>Les tests, contrats et validations s’appuient sur des spécifications solides.</w:t>
            </w:r>
          </w:p>
        </w:tc>
      </w:tr>
      <w:tr>
        <w:tc>
          <w:tcPr>
            <w:tcW w:type="dxa" w:w="2880"/>
            <w:vAlign w:val="top"/>
          </w:tcPr>
          <w:p>
            <w:r>
              <w:t>5</w:t>
            </w:r>
          </w:p>
        </w:tc>
        <w:tc>
          <w:tcPr>
            <w:tcW w:type="dxa" w:w="2880"/>
            <w:vAlign w:val="top"/>
          </w:tcPr>
          <w:p>
            <w:r>
              <w:t>Qualimétrie décisionnelle</w:t>
            </w:r>
          </w:p>
        </w:tc>
        <w:tc>
          <w:tcPr>
            <w:tcW w:type="dxa" w:w="2880"/>
            <w:vAlign w:val="top"/>
          </w:tcPr>
          <w:p>
            <w:r>
              <w:t>Les signaux éclairent réellement les décisions.</w:t>
            </w:r>
          </w:p>
        </w:tc>
      </w:tr>
      <w:tr>
        <w:tc>
          <w:tcPr>
            <w:tcW w:type="dxa" w:w="2880"/>
            <w:vAlign w:val="top"/>
          </w:tcPr>
          <w:p>
            <w:r>
              <w:t>6</w:t>
            </w:r>
          </w:p>
        </w:tc>
        <w:tc>
          <w:tcPr>
            <w:tcW w:type="dxa" w:w="2880"/>
            <w:vAlign w:val="top"/>
          </w:tcPr>
          <w:p>
            <w:r>
              <w:t>IA maîtrisée</w:t>
            </w:r>
          </w:p>
        </w:tc>
        <w:tc>
          <w:tcPr>
            <w:tcW w:type="dxa" w:w="2880"/>
            <w:vAlign w:val="top"/>
          </w:tcPr>
          <w:p>
            <w:r>
              <w:t>L’IA amplifie une clarté existante plutôt que le flou.</w:t>
            </w:r>
          </w:p>
        </w:tc>
      </w:tr>
    </w:tbl>
    <w:p/>
    <w:p>
      <w:pPr>
        <w:pStyle w:val="Heading2"/>
      </w:pPr>
      <w:r>
        <w:t>Chapitre 15 — Maturité par angle de maîtrise</w:t>
      </w:r>
    </w:p>
    <w:p>
      <w:pPr>
        <w:pStyle w:val="PhraserepèreToTAL"/>
      </w:pPr>
      <w:r>
        <w:t>Repère de lecture : ces maturités ne forment pas une suite linéaire. Elles sont des angles de maîtrise qui se chevauchent et se renforcent selon le contexte.</w:t>
      </w:r>
    </w:p>
    <w:p>
      <w:pPr>
        <w:pStyle w:val="ListBullet"/>
      </w:pPr>
      <w:r>
        <w:t>Maturité de la compréhension amont : comprendre la douleur, la valeur, le risque et le signal avant solution.</w:t>
      </w:r>
    </w:p>
    <w:p>
      <w:pPr>
        <w:pStyle w:val="ListBullet"/>
      </w:pPr>
      <w:r>
        <w:t>Maturité de la clarification : rendre les attentes claires, observables, testables et actionnables.</w:t>
      </w:r>
    </w:p>
    <w:p>
      <w:pPr>
        <w:pStyle w:val="ListBullet"/>
      </w:pPr>
      <w:r>
        <w:t>Maturité de la réalisation : construire avec preuves progressives et validation continue.</w:t>
      </w:r>
    </w:p>
    <w:p>
      <w:pPr>
        <w:pStyle w:val="ListBullet"/>
      </w:pPr>
      <w:r>
        <w:t>Maturité de l’exposition au réel : diffuser une promesse consciente, surveillée et assumée.</w:t>
      </w:r>
    </w:p>
    <w:p>
      <w:pPr>
        <w:pStyle w:val="ListBullet"/>
      </w:pPr>
      <w:r>
        <w:t>Maturité de la veille et de l’apprentissage : apprendre du réel et réinjecter les apprentissages.</w:t>
      </w:r>
    </w:p>
    <w:p>
      <w:pPr>
        <w:pStyle w:val="ListBullet"/>
      </w:pPr>
      <w:r>
        <w:t>Maturité de la qualimétrie : éclairer les décisions sans punir.</w:t>
      </w:r>
    </w:p>
    <w:p>
      <w:pPr>
        <w:pStyle w:val="ListBullet"/>
      </w:pPr>
      <w:r>
        <w:t>Maturité IA : amplifier la maîtrise, pas le flou.</w:t>
      </w:r>
    </w:p>
    <w:p>
      <w:pPr>
        <w:pStyle w:val="Heading1"/>
      </w:pPr>
      <w:r>
        <w:t>Partie 5 — Accompagner le changement</w:t>
      </w:r>
    </w:p>
    <w:p>
      <w:pPr>
        <w:pStyle w:val="Heading2"/>
      </w:pPr>
      <w:r>
        <w:t>Chapitre 16 — Le plan 30-60-90 jours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Période</w:t>
            </w:r>
          </w:p>
        </w:tc>
        <w:tc>
          <w:tcPr>
            <w:tcW w:type="dxa" w:w="2880"/>
          </w:tcPr>
          <w:p>
            <w:r>
              <w:rPr>
                <w:b/>
              </w:rPr>
              <w:t>Objectif</w:t>
            </w:r>
          </w:p>
        </w:tc>
        <w:tc>
          <w:tcPr>
            <w:tcW w:type="dxa" w:w="2880"/>
          </w:tcPr>
          <w:p>
            <w:r>
              <w:rPr>
                <w:b/>
              </w:rPr>
              <w:t>Livrables possibles</w:t>
            </w:r>
          </w:p>
        </w:tc>
      </w:tr>
      <w:tr>
        <w:tc>
          <w:tcPr>
            <w:tcW w:type="dxa" w:w="2880"/>
            <w:vAlign w:val="top"/>
          </w:tcPr>
          <w:p>
            <w:r>
              <w:t>0–30 jours</w:t>
            </w:r>
          </w:p>
        </w:tc>
        <w:tc>
          <w:tcPr>
            <w:tcW w:type="dxa" w:w="2880"/>
            <w:vAlign w:val="top"/>
          </w:tcPr>
          <w:p>
            <w:r>
              <w:t>Voir</w:t>
            </w:r>
          </w:p>
        </w:tc>
        <w:tc>
          <w:tcPr>
            <w:tcW w:type="dxa" w:w="2880"/>
            <w:vAlign w:val="top"/>
          </w:tcPr>
          <w:p>
            <w:r>
              <w:t>Portrait initial, concepts flous prioritaires, premiers signaux, terrain pilote.</w:t>
            </w:r>
          </w:p>
        </w:tc>
      </w:tr>
      <w:tr>
        <w:tc>
          <w:tcPr>
            <w:tcW w:type="dxa" w:w="2880"/>
            <w:vAlign w:val="top"/>
          </w:tcPr>
          <w:p>
            <w:r>
              <w:t>31–60 jours</w:t>
            </w:r>
          </w:p>
        </w:tc>
        <w:tc>
          <w:tcPr>
            <w:tcW w:type="dxa" w:w="2880"/>
            <w:vAlign w:val="top"/>
          </w:tcPr>
          <w:p>
            <w:r>
              <w:t>Stabiliser</w:t>
            </w:r>
          </w:p>
        </w:tc>
        <w:tc>
          <w:tcPr>
            <w:tcW w:type="dxa" w:w="2880"/>
            <w:vAlign w:val="top"/>
          </w:tcPr>
          <w:p>
            <w:r>
              <w:t>Ateliers de clarification, définitions locales, premières fiches qualimétrie, revue “Done”.</w:t>
            </w:r>
          </w:p>
        </w:tc>
      </w:tr>
      <w:tr>
        <w:tc>
          <w:tcPr>
            <w:tcW w:type="dxa" w:w="2880"/>
            <w:vAlign w:val="top"/>
          </w:tcPr>
          <w:p>
            <w:r>
              <w:t>61–90 jours</w:t>
            </w:r>
          </w:p>
        </w:tc>
        <w:tc>
          <w:tcPr>
            <w:tcW w:type="dxa" w:w="2880"/>
            <w:vAlign w:val="top"/>
          </w:tcPr>
          <w:p>
            <w:r>
              <w:t>Ancrer</w:t>
            </w:r>
          </w:p>
        </w:tc>
        <w:tc>
          <w:tcPr>
            <w:tcW w:type="dxa" w:w="2880"/>
            <w:vAlign w:val="top"/>
          </w:tcPr>
          <w:p>
            <w:r>
              <w:t>Rituels légers, communauté de pratique, catalogue de services, feuille de route de maturité.</w:t>
            </w:r>
          </w:p>
        </w:tc>
      </w:tr>
    </w:tbl>
    <w:p/>
    <w:p>
      <w:pPr>
        <w:pStyle w:val="Heading2"/>
      </w:pPr>
      <w:r>
        <w:t>Chapitre 17 — Les rituels du Centre d’excellence</w:t>
      </w:r>
    </w:p>
    <w:p>
      <w:pPr>
        <w:pStyle w:val="ListBullet"/>
      </w:pPr>
      <w:r>
        <w:t>Rituel mensuel concept / décision / signal.</w:t>
      </w:r>
    </w:p>
    <w:p>
      <w:pPr>
        <w:pStyle w:val="ListBullet"/>
      </w:pPr>
      <w:r>
        <w:t>Clinique de spécification.</w:t>
      </w:r>
    </w:p>
    <w:p>
      <w:pPr>
        <w:pStyle w:val="ListBullet"/>
      </w:pPr>
      <w:r>
        <w:t>Revue de qualimétrie décisionnelle.</w:t>
      </w:r>
    </w:p>
    <w:p>
      <w:pPr>
        <w:pStyle w:val="ListBullet"/>
      </w:pPr>
      <w:r>
        <w:t>Rétro ToTAL après incident majeur.</w:t>
      </w:r>
    </w:p>
    <w:p>
      <w:pPr>
        <w:pStyle w:val="ListBullet"/>
      </w:pPr>
      <w:r>
        <w:t>Revue IA et automatisation : qu’allons-nous amplifier ?</w:t>
      </w:r>
    </w:p>
    <w:p>
      <w:pPr>
        <w:pStyle w:val="Heading2"/>
      </w:pPr>
      <w:r>
        <w:t>Chapitre 18 — Former sans endoctriner</w:t>
      </w:r>
    </w:p>
    <w:p>
      <w:r>
        <w:t>Former ToTAL ne signifie pas enseigner un vocabulaire complet à mémoriser. La formation doit partir de situations réelles.</w:t>
      </w:r>
    </w:p>
    <w:p>
      <w:pPr>
        <w:pStyle w:val="Heading1"/>
      </w:pPr>
      <w:r>
        <w:t>Partie 6 — Pérennité et anti-retour</w:t>
      </w:r>
    </w:p>
    <w:p>
      <w:pPr>
        <w:pStyle w:val="Heading2"/>
      </w:pPr>
      <w:r>
        <w:t>Chapitre 19 — Pourquoi les organisations retournent à leurs anciennes habitudes</w:t>
      </w:r>
    </w:p>
    <w:p>
      <w:pPr>
        <w:pStyle w:val="ListBullet"/>
      </w:pPr>
      <w:r>
        <w:t>La pression rend le flou acceptable temporairement.</w:t>
      </w:r>
    </w:p>
    <w:p>
      <w:pPr>
        <w:pStyle w:val="ListBullet"/>
      </w:pPr>
      <w:r>
        <w:t>Les métriques rassurent sans changer les décisions.</w:t>
      </w:r>
    </w:p>
    <w:p>
      <w:pPr>
        <w:pStyle w:val="ListBullet"/>
      </w:pPr>
      <w:r>
        <w:t>Les incidents sont fermés sans apprentissage.</w:t>
      </w:r>
    </w:p>
    <w:p>
      <w:pPr>
        <w:pStyle w:val="ListBullet"/>
      </w:pPr>
      <w:r>
        <w:t>La qualité redevient une douane.</w:t>
      </w:r>
    </w:p>
    <w:p>
      <w:pPr>
        <w:pStyle w:val="ListBullet"/>
      </w:pPr>
      <w:r>
        <w:t>L’automatisation et l’IA sont utilisées comme raccourcis plutôt que comme amplificateurs de maîtrise.</w:t>
      </w:r>
    </w:p>
    <w:p>
      <w:pPr>
        <w:pStyle w:val="Heading2"/>
      </w:pPr>
      <w:r>
        <w:t>Chapitre 20 — Préserver la mémoire de maîtrise</w:t>
      </w:r>
    </w:p>
    <w:p>
      <w:r>
        <w:t>Le Centre d’excellence ToTAL doit préserver une mémoire utile : définitions locales, exemples, contre-exemples, décisions apprises, incidents réinjectés, signaux utiles, patrons de spécification et apprentissages de livraison.</w:t>
      </w:r>
    </w:p>
    <w:p>
      <w:pPr>
        <w:pStyle w:val="Heading2"/>
      </w:pPr>
      <w:r>
        <w:t>Chapitre 21 — Le Centre d’excellence comme système vivant</w:t>
      </w:r>
    </w:p>
    <w:p>
      <w:r>
        <w:t>Un Centre d’excellence ToTAL réussit lorsqu’il n’est plus seulement un lieu, mais une capacité distribuée dans l’organisation.</w:t>
      </w:r>
    </w:p>
    <w:p>
      <w:pPr>
        <w:pStyle w:val="Heading1"/>
      </w:pPr>
      <w:r>
        <w:t>Guide de référence — Canevas, rituels et fiches pratiques</w:t>
      </w:r>
    </w:p>
    <w:p>
      <w:pPr>
        <w:pStyle w:val="Heading2"/>
      </w:pPr>
      <w:r>
        <w:t>Canvas de diagnostic ToTAL</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Champ</w:t>
            </w:r>
          </w:p>
        </w:tc>
        <w:tc>
          <w:tcPr>
            <w:tcW w:type="dxa" w:w="4320"/>
          </w:tcPr>
          <w:p>
            <w:r>
              <w:rPr>
                <w:b/>
              </w:rPr>
              <w:t>Question</w:t>
            </w:r>
          </w:p>
        </w:tc>
      </w:tr>
      <w:tr>
        <w:tc>
          <w:tcPr>
            <w:tcW w:type="dxa" w:w="4320"/>
            <w:vAlign w:val="top"/>
          </w:tcPr>
          <w:p>
            <w:r>
              <w:t>Objet observé</w:t>
            </w:r>
          </w:p>
        </w:tc>
        <w:tc>
          <w:tcPr>
            <w:tcW w:type="dxa" w:w="4320"/>
            <w:vAlign w:val="top"/>
          </w:tcPr>
          <w:p>
            <w:r>
              <w:t>Quel produit, flux, release, incident, processus ou pratique observe-t-on ?</w:t>
            </w:r>
          </w:p>
        </w:tc>
      </w:tr>
      <w:tr>
        <w:tc>
          <w:tcPr>
            <w:tcW w:type="dxa" w:w="4320"/>
            <w:vAlign w:val="top"/>
          </w:tcPr>
          <w:p>
            <w:r>
              <w:t>Douleur qualité</w:t>
            </w:r>
          </w:p>
        </w:tc>
        <w:tc>
          <w:tcPr>
            <w:tcW w:type="dxa" w:w="4320"/>
            <w:vAlign w:val="top"/>
          </w:tcPr>
          <w:p>
            <w:r>
              <w:t>Qu’est-ce qui nuit à la confiance ?</w:t>
            </w:r>
          </w:p>
        </w:tc>
      </w:tr>
      <w:tr>
        <w:tc>
          <w:tcPr>
            <w:tcW w:type="dxa" w:w="4320"/>
            <w:vAlign w:val="top"/>
          </w:tcPr>
          <w:p>
            <w:r>
              <w:t>Décision fragile</w:t>
            </w:r>
          </w:p>
        </w:tc>
        <w:tc>
          <w:tcPr>
            <w:tcW w:type="dxa" w:w="4320"/>
            <w:vAlign w:val="top"/>
          </w:tcPr>
          <w:p>
            <w:r>
              <w:t>Quelle décision doit devenir meilleure ?</w:t>
            </w:r>
          </w:p>
        </w:tc>
      </w:tr>
      <w:tr>
        <w:tc>
          <w:tcPr>
            <w:tcW w:type="dxa" w:w="4320"/>
            <w:vAlign w:val="top"/>
          </w:tcPr>
          <w:p>
            <w:r>
              <w:t>Concepts flous</w:t>
            </w:r>
          </w:p>
        </w:tc>
        <w:tc>
          <w:tcPr>
            <w:tcW w:type="dxa" w:w="4320"/>
            <w:vAlign w:val="top"/>
          </w:tcPr>
          <w:p>
            <w:r>
              <w:t>Quels mots créent plusieurs réalités ?</w:t>
            </w:r>
          </w:p>
        </w:tc>
      </w:tr>
      <w:tr>
        <w:tc>
          <w:tcPr>
            <w:tcW w:type="dxa" w:w="4320"/>
            <w:vAlign w:val="top"/>
          </w:tcPr>
          <w:p>
            <w:r>
              <w:t>Spécifications manquantes</w:t>
            </w:r>
          </w:p>
        </w:tc>
        <w:tc>
          <w:tcPr>
            <w:tcW w:type="dxa" w:w="4320"/>
            <w:vAlign w:val="top"/>
          </w:tcPr>
          <w:p>
            <w:r>
              <w:t>Quelles attentes ne sont pas encore testables ?</w:t>
            </w:r>
          </w:p>
        </w:tc>
      </w:tr>
      <w:tr>
        <w:tc>
          <w:tcPr>
            <w:tcW w:type="dxa" w:w="4320"/>
            <w:vAlign w:val="top"/>
          </w:tcPr>
          <w:p>
            <w:r>
              <w:t>Signaux utiles</w:t>
            </w:r>
          </w:p>
        </w:tc>
        <w:tc>
          <w:tcPr>
            <w:tcW w:type="dxa" w:w="4320"/>
            <w:vAlign w:val="top"/>
          </w:tcPr>
          <w:p>
            <w:r>
              <w:t>Qu’est-ce qui pourrait éclairer la décision ?</w:t>
            </w:r>
          </w:p>
        </w:tc>
      </w:tr>
      <w:tr>
        <w:tc>
          <w:tcPr>
            <w:tcW w:type="dxa" w:w="4320"/>
            <w:vAlign w:val="top"/>
          </w:tcPr>
          <w:p>
            <w:r>
              <w:t>Métriques décoratives</w:t>
            </w:r>
          </w:p>
        </w:tc>
        <w:tc>
          <w:tcPr>
            <w:tcW w:type="dxa" w:w="4320"/>
            <w:vAlign w:val="top"/>
          </w:tcPr>
          <w:p>
            <w:r>
              <w:t>Qu’est-ce qui mesure sans faire décider ?</w:t>
            </w:r>
          </w:p>
        </w:tc>
      </w:tr>
      <w:tr>
        <w:tc>
          <w:tcPr>
            <w:tcW w:type="dxa" w:w="4320"/>
            <w:vAlign w:val="top"/>
          </w:tcPr>
          <w:p>
            <w:r>
              <w:t>Apprentissage non réinjecté</w:t>
            </w:r>
          </w:p>
        </w:tc>
        <w:tc>
          <w:tcPr>
            <w:tcW w:type="dxa" w:w="4320"/>
            <w:vAlign w:val="top"/>
          </w:tcPr>
          <w:p>
            <w:r>
              <w:t>Qu’avons-nous appris sans changer le système ?</w:t>
            </w:r>
          </w:p>
        </w:tc>
      </w:tr>
      <w:tr>
        <w:tc>
          <w:tcPr>
            <w:tcW w:type="dxa" w:w="4320"/>
            <w:vAlign w:val="top"/>
          </w:tcPr>
          <w:p>
            <w:r>
              <w:t>Automatisation possible</w:t>
            </w:r>
          </w:p>
        </w:tc>
        <w:tc>
          <w:tcPr>
            <w:tcW w:type="dxa" w:w="4320"/>
            <w:vAlign w:val="top"/>
          </w:tcPr>
          <w:p>
            <w:r>
              <w:t>Qu’est-ce qui pourrait devenir exécutable si l’attente était claire ?</w:t>
            </w:r>
          </w:p>
        </w:tc>
      </w:tr>
      <w:tr>
        <w:tc>
          <w:tcPr>
            <w:tcW w:type="dxa" w:w="4320"/>
            <w:vAlign w:val="top"/>
          </w:tcPr>
          <w:p>
            <w:r>
              <w:t>Risque IA</w:t>
            </w:r>
          </w:p>
        </w:tc>
        <w:tc>
          <w:tcPr>
            <w:tcW w:type="dxa" w:w="4320"/>
            <w:vAlign w:val="top"/>
          </w:tcPr>
          <w:p>
            <w:r>
              <w:t>Quel flou risquons-nous d’amplifier ?</w:t>
            </w:r>
          </w:p>
        </w:tc>
      </w:tr>
    </w:tbl>
    <w:p/>
    <w:p>
      <w:pPr>
        <w:pStyle w:val="Heading2"/>
      </w:pPr>
      <w:r>
        <w:t>Fiche atelier de spécification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Élément</w:t>
            </w:r>
          </w:p>
        </w:tc>
        <w:tc>
          <w:tcPr>
            <w:tcW w:type="dxa" w:w="4320"/>
          </w:tcPr>
          <w:p>
            <w:r>
              <w:rPr>
                <w:b/>
              </w:rPr>
              <w:t>Contenu à produire</w:t>
            </w:r>
          </w:p>
        </w:tc>
      </w:tr>
      <w:tr>
        <w:tc>
          <w:tcPr>
            <w:tcW w:type="dxa" w:w="4320"/>
            <w:vAlign w:val="top"/>
          </w:tcPr>
          <w:p>
            <w:r>
              <w:t>Attente</w:t>
            </w:r>
          </w:p>
        </w:tc>
        <w:tc>
          <w:tcPr>
            <w:tcW w:type="dxa" w:w="4320"/>
            <w:vAlign w:val="top"/>
          </w:tcPr>
          <w:p>
            <w:r>
              <w:t>Ce qui doit devenir clair.</w:t>
            </w:r>
          </w:p>
        </w:tc>
      </w:tr>
      <w:tr>
        <w:tc>
          <w:tcPr>
            <w:tcW w:type="dxa" w:w="4320"/>
            <w:vAlign w:val="top"/>
          </w:tcPr>
          <w:p>
            <w:r>
              <w:t>SI</w:t>
            </w:r>
          </w:p>
        </w:tc>
        <w:tc>
          <w:tcPr>
            <w:tcW w:type="dxa" w:w="4320"/>
            <w:vAlign w:val="top"/>
          </w:tcPr>
          <w:p>
            <w:r>
              <w:t>Condition, contexte ou déclencheur.</w:t>
            </w:r>
          </w:p>
        </w:tc>
      </w:tr>
      <w:tr>
        <w:tc>
          <w:tcPr>
            <w:tcW w:type="dxa" w:w="4320"/>
            <w:vAlign w:val="top"/>
          </w:tcPr>
          <w:p>
            <w:r>
              <w:t>ALORS</w:t>
            </w:r>
          </w:p>
        </w:tc>
        <w:tc>
          <w:tcPr>
            <w:tcW w:type="dxa" w:w="4320"/>
            <w:vAlign w:val="top"/>
          </w:tcPr>
          <w:p>
            <w:r>
              <w:t>Résultat, comportement, règle, signal ou attente vérifiable.</w:t>
            </w:r>
          </w:p>
        </w:tc>
      </w:tr>
      <w:tr>
        <w:tc>
          <w:tcPr>
            <w:tcW w:type="dxa" w:w="4320"/>
            <w:vAlign w:val="top"/>
          </w:tcPr>
          <w:p>
            <w:r>
              <w:t>Exemple</w:t>
            </w:r>
          </w:p>
        </w:tc>
        <w:tc>
          <w:tcPr>
            <w:tcW w:type="dxa" w:w="4320"/>
            <w:vAlign w:val="top"/>
          </w:tcPr>
          <w:p>
            <w:r>
              <w:t>Cas attendu concret.</w:t>
            </w:r>
          </w:p>
        </w:tc>
      </w:tr>
      <w:tr>
        <w:tc>
          <w:tcPr>
            <w:tcW w:type="dxa" w:w="4320"/>
            <w:vAlign w:val="top"/>
          </w:tcPr>
          <w:p>
            <w:r>
              <w:t>Contre-exemple</w:t>
            </w:r>
          </w:p>
        </w:tc>
        <w:tc>
          <w:tcPr>
            <w:tcW w:type="dxa" w:w="4320"/>
            <w:vAlign w:val="top"/>
          </w:tcPr>
          <w:p>
            <w:r>
              <w:t>Cas proche mais non attendu.</w:t>
            </w:r>
          </w:p>
        </w:tc>
      </w:tr>
      <w:tr>
        <w:tc>
          <w:tcPr>
            <w:tcW w:type="dxa" w:w="4320"/>
            <w:vAlign w:val="top"/>
          </w:tcPr>
          <w:p>
            <w:r>
              <w:t>Validation</w:t>
            </w:r>
          </w:p>
        </w:tc>
        <w:tc>
          <w:tcPr>
            <w:tcW w:type="dxa" w:w="4320"/>
            <w:vAlign w:val="top"/>
          </w:tcPr>
          <w:p>
            <w:r>
              <w:t>Comment la confiance sera construite.</w:t>
            </w:r>
          </w:p>
        </w:tc>
      </w:tr>
      <w:tr>
        <w:tc>
          <w:tcPr>
            <w:tcW w:type="dxa" w:w="4320"/>
            <w:vAlign w:val="top"/>
          </w:tcPr>
          <w:p>
            <w:r>
              <w:t>Signal</w:t>
            </w:r>
          </w:p>
        </w:tc>
        <w:tc>
          <w:tcPr>
            <w:tcW w:type="dxa" w:w="4320"/>
            <w:vAlign w:val="top"/>
          </w:tcPr>
          <w:p>
            <w:r>
              <w:t>Ce qui permettra d’apprendre après diffusion.</w:t>
            </w:r>
          </w:p>
        </w:tc>
      </w:tr>
    </w:tbl>
    <w:p/>
    <w:p>
      <w:pPr>
        <w:pStyle w:val="Heading2"/>
      </w:pPr>
      <w:r>
        <w:t>Fiche qualimétrie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Champ</w:t>
            </w:r>
          </w:p>
        </w:tc>
        <w:tc>
          <w:tcPr>
            <w:tcW w:type="dxa" w:w="4320"/>
          </w:tcPr>
          <w:p>
            <w:r>
              <w:rPr>
                <w:b/>
              </w:rPr>
              <w:t>Description</w:t>
            </w:r>
          </w:p>
        </w:tc>
      </w:tr>
      <w:tr>
        <w:tc>
          <w:tcPr>
            <w:tcW w:type="dxa" w:w="4320"/>
            <w:vAlign w:val="top"/>
          </w:tcPr>
          <w:p>
            <w:r>
              <w:t>Signal</w:t>
            </w:r>
          </w:p>
        </w:tc>
        <w:tc>
          <w:tcPr>
            <w:tcW w:type="dxa" w:w="4320"/>
            <w:vAlign w:val="top"/>
          </w:tcPr>
          <w:p>
            <w:r>
              <w:t>Ce que l’on observe.</w:t>
            </w:r>
          </w:p>
        </w:tc>
      </w:tr>
      <w:tr>
        <w:tc>
          <w:tcPr>
            <w:tcW w:type="dxa" w:w="4320"/>
            <w:vAlign w:val="top"/>
          </w:tcPr>
          <w:p>
            <w:r>
              <w:t>Décision éclairée</w:t>
            </w:r>
          </w:p>
        </w:tc>
        <w:tc>
          <w:tcPr>
            <w:tcW w:type="dxa" w:w="4320"/>
            <w:vAlign w:val="top"/>
          </w:tcPr>
          <w:p>
            <w:r>
              <w:t>La décision qui devrait changer ou être confirmée.</w:t>
            </w:r>
          </w:p>
        </w:tc>
      </w:tr>
      <w:tr>
        <w:tc>
          <w:tcPr>
            <w:tcW w:type="dxa" w:w="4320"/>
            <w:vAlign w:val="top"/>
          </w:tcPr>
          <w:p>
            <w:r>
              <w:t>Seuil ou tendance</w:t>
            </w:r>
          </w:p>
        </w:tc>
        <w:tc>
          <w:tcPr>
            <w:tcW w:type="dxa" w:w="4320"/>
            <w:vAlign w:val="top"/>
          </w:tcPr>
          <w:p>
            <w:r>
              <w:t>Ce qui attire l’attention sans devenir une règle aveugle.</w:t>
            </w:r>
          </w:p>
        </w:tc>
      </w:tr>
      <w:tr>
        <w:tc>
          <w:tcPr>
            <w:tcW w:type="dxa" w:w="4320"/>
            <w:vAlign w:val="top"/>
          </w:tcPr>
          <w:p>
            <w:r>
              <w:t>Action possible</w:t>
            </w:r>
          </w:p>
        </w:tc>
        <w:tc>
          <w:tcPr>
            <w:tcW w:type="dxa" w:w="4320"/>
            <w:vAlign w:val="top"/>
          </w:tcPr>
          <w:p>
            <w:r>
              <w:t>Ce que l’organisation peut faire avec ce signal.</w:t>
            </w:r>
          </w:p>
        </w:tc>
      </w:tr>
      <w:tr>
        <w:tc>
          <w:tcPr>
            <w:tcW w:type="dxa" w:w="4320"/>
            <w:vAlign w:val="top"/>
          </w:tcPr>
          <w:p>
            <w:r>
              <w:t>Risque de mauvaise interprétation</w:t>
            </w:r>
          </w:p>
        </w:tc>
        <w:tc>
          <w:tcPr>
            <w:tcW w:type="dxa" w:w="4320"/>
            <w:vAlign w:val="top"/>
          </w:tcPr>
          <w:p>
            <w:r>
              <w:t>Comment ce signal pourrait devenir décoratif ou punitif.</w:t>
            </w:r>
          </w:p>
        </w:tc>
      </w:tr>
    </w:tbl>
    <w:p/>
    <w:p>
      <w:pPr>
        <w:pStyle w:val="Heading1"/>
      </w:pPr>
      <w:r>
        <w:t>Conclusion — Quand la maîtrise devient une capacité vivante</w:t>
      </w:r>
    </w:p>
    <w:p>
      <w:r>
        <w:t>Le Centre d’excellence ToTAL ne doit pas devenir une structure qui parle de maîtrise à la place des équipes. Il doit aider les équipes à pratiquer la maîtrise dans leurs décisions réelles.</w:t>
      </w:r>
    </w:p>
    <w:p>
      <w:pPr>
        <w:pStyle w:val="PhraserepèreToTAL"/>
      </w:pPr>
      <w:r>
        <w:t>Dernière phrase repère : le Centre d’excellence ToTAL n’est pas la destination. Il est le mécanisme qui aide l’organisation à ne pas perdre le chemin.</w:t>
      </w:r>
    </w:p>
    <w:p>
      <w:pPr>
        <w:pStyle w:val="Heading1"/>
      </w:pPr>
      <w:r>
        <w:t>Annexes — Grilles rapides</w:t>
      </w:r>
    </w:p>
    <w:p>
      <w:pPr>
        <w:pStyle w:val="Heading2"/>
      </w:pPr>
      <w:r>
        <w:t>Checklist IA — Clarifier avant d’amplifier</w:t>
      </w:r>
    </w:p>
    <w:p>
      <w:pPr>
        <w:pStyle w:val="ListBullet"/>
      </w:pPr>
      <w:r>
        <w:t>Quel problème voulons-nous réellement résoudre ?</w:t>
      </w:r>
    </w:p>
    <w:p>
      <w:pPr>
        <w:pStyle w:val="ListBullet"/>
      </w:pPr>
      <w:r>
        <w:t>Quels mots sensibles doivent être clarifiés ?</w:t>
      </w:r>
    </w:p>
    <w:p>
      <w:pPr>
        <w:pStyle w:val="ListBullet"/>
      </w:pPr>
      <w:r>
        <w:t>Quels exemples et contre-exemples guident l’IA ?</w:t>
      </w:r>
    </w:p>
    <w:p>
      <w:pPr>
        <w:pStyle w:val="ListBullet"/>
      </w:pPr>
      <w:r>
        <w:t>Quels critères permettent de valider la sortie ?</w:t>
      </w:r>
    </w:p>
    <w:p>
      <w:pPr>
        <w:pStyle w:val="ListBullet"/>
      </w:pPr>
      <w:r>
        <w:t>Quelle décision humaine reste nécessaire ?</w:t>
      </w:r>
    </w:p>
    <w:p>
      <w:pPr>
        <w:pStyle w:val="ListBullet"/>
      </w:pPr>
      <w:r>
        <w:t>Quel signal montrera que l’IA améliore vraiment le système ?</w:t>
      </w:r>
    </w:p>
    <w:p>
      <w:pPr>
        <w:pStyle w:val="Heading2"/>
      </w:pPr>
      <w:r>
        <w:t>Checklist automatisation — Automatiser la clarté</w:t>
      </w:r>
    </w:p>
    <w:p>
      <w:pPr>
        <w:pStyle w:val="ListBullet"/>
      </w:pPr>
      <w:r>
        <w:t>L’attente est-elle claire et testable ?</w:t>
      </w:r>
    </w:p>
    <w:p>
      <w:pPr>
        <w:pStyle w:val="ListBullet"/>
      </w:pPr>
      <w:r>
        <w:t>Le SI / ALORS est-il formulé ?</w:t>
      </w:r>
    </w:p>
    <w:p>
      <w:pPr>
        <w:pStyle w:val="ListBullet"/>
      </w:pPr>
      <w:r>
        <w:t>Les données de test sont-elles maîtrisées ?</w:t>
      </w:r>
    </w:p>
    <w:p>
      <w:pPr>
        <w:pStyle w:val="ListBullet"/>
      </w:pPr>
      <w:r>
        <w:t>Le test protège-t-il une décision ou seulement une implémentation ?</w:t>
      </w:r>
    </w:p>
    <w:p>
      <w:pPr>
        <w:pStyle w:val="ListBullet"/>
      </w:pPr>
      <w:r>
        <w:t>Le signal produit par l’automatisation est-il utilisé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eastAsia="Verdan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eastAsia="Verdana"/>
      <w:b/>
      <w:bCs/>
      <w:color w:val="1D1B1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eastAsia="Verdana"/>
      <w:b/>
      <w:bCs/>
      <w:color w:val="1D1B1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Verdana" w:hAnsi="Verdana" w:eastAsia="Verdana"/>
      <w:b/>
      <w:bCs/>
      <w:color w:val="1D1B1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Verdana" w:hAnsi="Verdana" w:eastAsia="Verdana"/>
      <w:b/>
      <w:bCs/>
      <w:i/>
      <w:iCs/>
      <w:color w:val="1D1B1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eastAsia="Verdana"/>
      <w:b/>
      <w:color w:val="1D1B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raserepèreToTAL">
    <w:name w:val="Phrase repère ToTAL"/>
    <w:rPr>
      <w:rFonts w:ascii="Verdana" w:hAnsi="Verdana" w:eastAsia="Verdana"/>
      <w:i/>
      <w:color w:val="46464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