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6"/>
        </w:rPr>
        <w:t>SOFTWARE QUALITY ASSURANCE PLAN</w:t>
        <w:br/>
        <w:t>TEMPLATE</w:t>
        <w:br/>
        <w:br/>
      </w:r>
      <w:r>
        <w:rPr>
          <w:rFonts w:ascii="Times New Roman" w:hAnsi="Times New Roman"/>
          <w:b/>
          <w:sz w:val="32"/>
        </w:rPr>
        <w:t>TM-SQA-01 V2.0</w:t>
        <w:br/>
        <w:br/>
        <w:br/>
        <w:br/>
        <w:br/>
        <w:br/>
        <w:br/>
        <w:br/>
      </w:r>
    </w:p>
    <w:p>
      <w:pPr>
        <w:spacing w:before="2400"/>
        <w:jc w:val="center"/>
      </w:pPr>
      <w:r>
        <w:rPr>
          <w:rFonts w:ascii="Times New Roman" w:hAnsi="Times New Roman"/>
          <w:b/>
          <w:sz w:val="22"/>
        </w:rPr>
        <w:t>Systems Engineering Process Office, Code 212</w:t>
        <w:br/>
        <w:t>Space and Naval Warfare Systems Center San Diego</w:t>
        <w:br/>
        <w:t>53560 Hull Street</w:t>
        <w:br/>
        <w:t>San Diego, CA 92152-5001</w:t>
        <w:br/>
        <w:br/>
        <w:br/>
        <w:t>Approved for public release; distribution is unlimited</w:t>
      </w:r>
    </w:p>
    <w:p>
      <w:r>
        <w:br w:type="page"/>
      </w:r>
    </w:p>
    <w:p>
      <w:pPr>
        <w:spacing w:after="240"/>
        <w:jc w:val="center"/>
      </w:pPr>
      <w:r>
        <w:rPr>
          <w:rFonts w:ascii="Times New Roman" w:hAnsi="Times New Roman"/>
          <w:b/>
          <w:sz w:val="28"/>
        </w:rPr>
        <w:t>DOCUMENT CHANGE REQUEST (DCR)</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tcPr>
          <w:p>
            <w:r>
              <w:rPr>
                <w:rFonts w:ascii="Times New Roman" w:hAnsi="Times New Roman"/>
                <w:sz w:val="20"/>
              </w:rPr>
              <w:t>Document Title: Software Quality Assurance Plan Template</w:t>
            </w:r>
          </w:p>
        </w:tc>
        <w:tc>
          <w:tcPr>
            <w:tcW w:type="dxa" w:w="4680"/>
            <w:tcMar>
              <w:top w:w="80" w:type="dxa"/>
              <w:bottom w:w="80" w:type="dxa"/>
              <w:left w:w="100" w:type="dxa"/>
              <w:right w:w="100" w:type="dxa"/>
            </w:tcMar>
          </w:tcPr>
          <w:p>
            <w:r>
              <w:rPr>
                <w:rFonts w:ascii="Times New Roman" w:hAnsi="Times New Roman"/>
                <w:sz w:val="20"/>
              </w:rPr>
              <w:t>Tracking Number: TM-SQA-01 v2.0</w:t>
            </w:r>
          </w:p>
        </w:tc>
      </w:tr>
      <w:tr>
        <w:tc>
          <w:tcPr>
            <w:tcW w:type="dxa" w:w="4680"/>
            <w:tcMar>
              <w:top w:w="80" w:type="dxa"/>
              <w:bottom w:w="80" w:type="dxa"/>
              <w:left w:w="100" w:type="dxa"/>
              <w:right w:w="100" w:type="dxa"/>
            </w:tcMar>
          </w:tcPr>
          <w:p>
            <w:r>
              <w:rPr>
                <w:rFonts w:ascii="Times New Roman" w:hAnsi="Times New Roman"/>
                <w:sz w:val="20"/>
              </w:rPr>
              <w:t>Name of Submitting Organization: Departamento de Ingeniería de Software y Calidad</w:t>
            </w:r>
          </w:p>
        </w:tc>
        <w:tc>
          <w:tcPr>
            <w:tcW w:type="dxa" w:w="4680"/>
            <w:tcMar>
              <w:top w:w="80" w:type="dxa"/>
              <w:bottom w:w="80" w:type="dxa"/>
              <w:left w:w="100" w:type="dxa"/>
              <w:right w:w="100" w:type="dxa"/>
            </w:tcMar>
          </w:tcPr>
          <w:p>
            <w:r>
              <w:rPr>
                <w:rFonts w:ascii="Times New Roman" w:hAnsi="Times New Roman"/>
                <w:sz w:val="20"/>
              </w:rPr>
            </w:r>
          </w:p>
        </w:tc>
      </w:tr>
      <w:tr>
        <w:tc>
          <w:tcPr>
            <w:tcW w:type="dxa" w:w="4680"/>
            <w:tcMar>
              <w:top w:w="80" w:type="dxa"/>
              <w:bottom w:w="80" w:type="dxa"/>
              <w:left w:w="100" w:type="dxa"/>
              <w:right w:w="100" w:type="dxa"/>
            </w:tcMar>
          </w:tcPr>
          <w:p>
            <w:r>
              <w:rPr>
                <w:rFonts w:ascii="Times New Roman" w:hAnsi="Times New Roman"/>
                <w:sz w:val="20"/>
              </w:rPr>
              <w:t>Organization Contact: Equipo SQA proyectoHospital</w:t>
            </w:r>
          </w:p>
        </w:tc>
        <w:tc>
          <w:tcPr>
            <w:tcW w:type="dxa" w:w="4680"/>
            <w:tcMar>
              <w:top w:w="80" w:type="dxa"/>
              <w:bottom w:w="80" w:type="dxa"/>
              <w:left w:w="100" w:type="dxa"/>
              <w:right w:w="100" w:type="dxa"/>
            </w:tcMar>
          </w:tcPr>
          <w:p>
            <w:r>
              <w:rPr>
                <w:rFonts w:ascii="Times New Roman" w:hAnsi="Times New Roman"/>
                <w:sz w:val="20"/>
              </w:rPr>
              <w:t>Phone: +593 99 625 9054</w:t>
            </w:r>
          </w:p>
        </w:tc>
      </w:tr>
      <w:tr>
        <w:tc>
          <w:tcPr>
            <w:tcW w:type="dxa" w:w="4680"/>
            <w:tcMar>
              <w:top w:w="80" w:type="dxa"/>
              <w:bottom w:w="80" w:type="dxa"/>
              <w:left w:w="100" w:type="dxa"/>
              <w:right w:w="100" w:type="dxa"/>
            </w:tcMar>
          </w:tcPr>
          <w:p>
            <w:r>
              <w:rPr>
                <w:rFonts w:ascii="Times New Roman" w:hAnsi="Times New Roman"/>
                <w:sz w:val="20"/>
              </w:rPr>
              <w:t>Mailing Address: Quito, Ecuador</w:t>
            </w:r>
          </w:p>
        </w:tc>
        <w:tc>
          <w:tcPr>
            <w:tcW w:type="dxa" w:w="4680"/>
            <w:tcMar>
              <w:top w:w="80" w:type="dxa"/>
              <w:bottom w:w="80" w:type="dxa"/>
              <w:left w:w="100" w:type="dxa"/>
              <w:right w:w="100" w:type="dxa"/>
            </w:tcMar>
          </w:tcPr>
          <w:p>
            <w:r>
              <w:rPr>
                <w:rFonts w:ascii="Times New Roman" w:hAnsi="Times New Roman"/>
                <w:sz w:val="20"/>
              </w:rPr>
            </w:r>
          </w:p>
        </w:tc>
      </w:tr>
      <w:tr>
        <w:tc>
          <w:tcPr>
            <w:tcW w:type="dxa" w:w="4680"/>
            <w:tcMar>
              <w:top w:w="80" w:type="dxa"/>
              <w:bottom w:w="80" w:type="dxa"/>
              <w:left w:w="100" w:type="dxa"/>
              <w:right w:w="100" w:type="dxa"/>
            </w:tcMar>
          </w:tcPr>
          <w:p>
            <w:r>
              <w:rPr>
                <w:rFonts w:ascii="Times New Roman" w:hAnsi="Times New Roman"/>
                <w:sz w:val="20"/>
              </w:rPr>
              <w:t>Short Title: proyectoHospital SQAP</w:t>
            </w:r>
          </w:p>
        </w:tc>
        <w:tc>
          <w:tcPr>
            <w:tcW w:type="dxa" w:w="4680"/>
            <w:tcMar>
              <w:top w:w="80" w:type="dxa"/>
              <w:bottom w:w="80" w:type="dxa"/>
              <w:left w:w="100" w:type="dxa"/>
              <w:right w:w="100" w:type="dxa"/>
            </w:tcMar>
          </w:tcPr>
          <w:p>
            <w:r>
              <w:rPr>
                <w:rFonts w:ascii="Times New Roman" w:hAnsi="Times New Roman"/>
                <w:sz w:val="20"/>
              </w:rPr>
              <w:t>Date: 25 de Julio de 2026</w:t>
            </w:r>
          </w:p>
        </w:tc>
      </w:tr>
      <w:tr>
        <w:tc>
          <w:tcPr>
            <w:tcW w:type="dxa" w:w="4680"/>
            <w:tcMar>
              <w:top w:w="80" w:type="dxa"/>
              <w:bottom w:w="80" w:type="dxa"/>
              <w:left w:w="100" w:type="dxa"/>
              <w:right w:w="100" w:type="dxa"/>
            </w:tcMar>
          </w:tcPr>
          <w:p>
            <w:r>
              <w:rPr>
                <w:rFonts w:ascii="Times New Roman" w:hAnsi="Times New Roman"/>
                <w:sz w:val="20"/>
              </w:rPr>
              <w:t>Change Location:</w:t>
              <w:br/>
              <w:t>(use section #, figure #, table #, etc.)</w:t>
              <w:br/>
              <w:br/>
              <w:t>Proposed Change:</w:t>
              <w:br/>
              <w:t>Documentación consolidada del Plan Maestro de Aseguramiento de Calidad con 71 pruebas automatizadas xUnit, 12 escenarios de Postman, prueba de estrés masivo de 50 usuarios / 1,200 inserciones BD, auditoría Nielsen SUS 85/100 y remediación de 16 defectos Jira.</w:t>
            </w:r>
          </w:p>
        </w:tc>
        <w:tc>
          <w:tcPr>
            <w:tcW w:type="dxa" w:w="4680"/>
            <w:tcMar>
              <w:top w:w="80" w:type="dxa"/>
              <w:bottom w:w="80" w:type="dxa"/>
              <w:left w:w="100" w:type="dxa"/>
              <w:right w:w="100" w:type="dxa"/>
            </w:tcMar>
          </w:tcPr>
          <w:p>
            <w:r>
              <w:rPr>
                <w:rFonts w:ascii="Times New Roman" w:hAnsi="Times New Roman"/>
                <w:sz w:val="20"/>
              </w:rPr>
            </w:r>
          </w:p>
        </w:tc>
      </w:tr>
      <w:tr>
        <w:tc>
          <w:tcPr>
            <w:tcW w:type="dxa" w:w="4680"/>
            <w:tcMar>
              <w:top w:w="80" w:type="dxa"/>
              <w:bottom w:w="80" w:type="dxa"/>
              <w:left w:w="100" w:type="dxa"/>
              <w:right w:w="100" w:type="dxa"/>
            </w:tcMar>
          </w:tcPr>
          <w:p>
            <w:r>
              <w:rPr>
                <w:rFonts w:ascii="Times New Roman" w:hAnsi="Times New Roman"/>
                <w:sz w:val="20"/>
              </w:rPr>
              <w:t>Rational for Change:</w:t>
              <w:br/>
              <w:t>Cumplimiento de estándares de calidad IEEE 730-2014, ISO/IEC 25010 y OWASP ASVS v4.0.</w:t>
            </w:r>
          </w:p>
        </w:tc>
        <w:tc>
          <w:tcPr>
            <w:tcW w:type="dxa" w:w="4680"/>
            <w:tcMar>
              <w:top w:w="80" w:type="dxa"/>
              <w:bottom w:w="80" w:type="dxa"/>
              <w:left w:w="100" w:type="dxa"/>
              <w:right w:w="100" w:type="dxa"/>
            </w:tcMar>
          </w:tcPr>
          <w:p>
            <w:r>
              <w:rPr>
                <w:rFonts w:ascii="Times New Roman" w:hAnsi="Times New Roman"/>
                <w:sz w:val="20"/>
              </w:rPr>
            </w:r>
          </w:p>
        </w:tc>
      </w:tr>
    </w:tbl>
    <w:p>
      <w:pPr>
        <w:spacing w:before="160"/>
      </w:pPr>
      <w:r>
        <w:rPr>
          <w:rFonts w:ascii="Times New Roman" w:hAnsi="Times New Roman"/>
          <w:sz w:val="18"/>
        </w:rPr>
        <w:t>Note: For the Systems Engineering Process Office (SEPO) to take appropriate action on a change request, please provide a clear description of the recommended change along with supporting rationale.</w:t>
        <w:br/>
        <w:t>Send to: Commanding Officer, Space and Naval Warfare Systems Center, Code 212, 53560 Hull Street, San Diego, CA 92152-5001</w:t>
        <w:br/>
        <w:t>Fax: (619) 553-6249 | Email: sepo@spawar.navy.mil | Submit online: http://sepo.spawar.navy.mil/</w:t>
        <w:br/>
      </w:r>
    </w:p>
    <w:p>
      <w:r>
        <w:br w:type="page"/>
      </w:r>
    </w:p>
    <w:p>
      <w:pPr>
        <w:spacing w:after="240"/>
        <w:jc w:val="center"/>
      </w:pPr>
      <w:r>
        <w:rPr>
          <w:rFonts w:ascii="Times New Roman" w:hAnsi="Times New Roman"/>
          <w:b/>
          <w:sz w:val="28"/>
        </w:rPr>
        <w:t>DOCUMENT CONVENTIONS</w:t>
      </w:r>
    </w:p>
    <w:p>
      <w:r>
        <w:rPr>
          <w:rFonts w:ascii="Times New Roman" w:hAnsi="Times New Roman"/>
          <w:sz w:val="22"/>
        </w:rPr>
        <w:t>This document is a Software Quality Assurance (SQA) Plan template. As such, wording in this document should be supplemented with project-specific information to produce an SQA Plan that accurately describes the project SQA organization. Therefore, tailor (add, delete, change, or expand) the information provided in this document.</w:t>
        <w:br/>
        <w:br/>
        <w:t>Standard conventions are used within this document to direct the reader to specific sections of the text. These sections provide instructions and explanations and require users to substitute their own department-specific information for the generic information provided or to "fill in a blank."</w:t>
        <w:br/>
        <w:br/>
        <w:t>[[text]]</w:t>
        <w:tab/>
        <w:t>Global changes. Items that appear in regular text and are surrounded by double brackets represent changes that can be made globally throughout the document.</w:t>
        <w:br/>
        <w:br/>
        <w:t>Italics</w:t>
        <w:tab/>
        <w:t>Instructions and explanations. Items that appear in italics represent instructions to the user and are not to appear in the completed version of the document.</w:t>
        <w:br/>
        <w:br/>
        <w:t>In some cases where information may already be found in another project document, like the Software Development Plan (SDP), refer to that document rather than duplicate the information in the project SQA Plan.</w:t>
        <w:br/>
        <w:br/>
        <w:t>The template begins with the Project SQA cover sheet on the page after the next. Delete all pages prior to the Project SQA cover sheet in the final format of the project SQA Plan. Update the header page to reflect the document configuration identifier for the project SQA Plan.</w:t>
      </w:r>
    </w:p>
    <w:p>
      <w:r>
        <w:br w:type="page"/>
      </w:r>
    </w:p>
    <w:p>
      <w:pPr>
        <w:spacing w:before="960"/>
        <w:jc w:val="center"/>
      </w:pPr>
      <w:r>
        <w:rPr>
          <w:rFonts w:ascii="Times New Roman" w:hAnsi="Times New Roman"/>
          <w:b/>
          <w:sz w:val="36"/>
        </w:rPr>
        <w:t>proyectoHospital</w:t>
        <w:br/>
        <w:t>SOFTWARE QUALITY ASSURANCE PLAN</w:t>
        <w:br/>
        <w:br/>
      </w:r>
      <w:r>
        <w:rPr>
          <w:rFonts w:ascii="Times New Roman" w:hAnsi="Times New Roman"/>
          <w:b/>
          <w:sz w:val="28"/>
        </w:rPr>
        <w:t>TM-SQA-01 v2.0</w:t>
        <w:br/>
        <w:t>25 de Julio de 2026</w:t>
        <w:br/>
        <w:br/>
        <w:br/>
      </w:r>
    </w:p>
    <w:p>
      <w:pPr>
        <w:spacing w:before="720"/>
      </w:pPr>
      <w:r>
        <w:rPr>
          <w:rFonts w:ascii="Times New Roman" w:hAnsi="Times New Roman"/>
          <w:b/>
          <w:sz w:val="24"/>
        </w:rPr>
        <w:t>SQA Plan Approvals:</w:t>
        <w:br/>
        <w:br/>
        <w:br/>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____________________________</w:t>
              <w:br/>
              <w:t>SQA Manager</w:t>
            </w:r>
          </w:p>
        </w:tc>
        <w:tc>
          <w:tcPr>
            <w:tcW w:type="dxa" w:w="4680"/>
          </w:tcPr>
          <w:p>
            <w:r>
              <w:rPr>
                <w:rFonts w:ascii="Times New Roman" w:hAnsi="Times New Roman"/>
                <w:b/>
                <w:sz w:val="22"/>
              </w:rPr>
              <w:t>____________________</w:t>
              <w:br/>
              <w:t>Date: 25/07/2026</w:t>
            </w:r>
          </w:p>
        </w:tc>
      </w:tr>
      <w:tr>
        <w:tc>
          <w:tcPr>
            <w:tcW w:type="dxa" w:w="4680"/>
          </w:tcPr>
          <w:p>
            <w:r>
              <w:rPr>
                <w:rFonts w:ascii="Times New Roman" w:hAnsi="Times New Roman"/>
                <w:b/>
                <w:sz w:val="22"/>
              </w:rPr>
              <w:t>____________________________</w:t>
              <w:br/>
              <w:t>Project Manager</w:t>
            </w:r>
          </w:p>
        </w:tc>
        <w:tc>
          <w:tcPr>
            <w:tcW w:type="dxa" w:w="4680"/>
          </w:tcPr>
          <w:p>
            <w:r>
              <w:rPr>
                <w:rFonts w:ascii="Times New Roman" w:hAnsi="Times New Roman"/>
                <w:b/>
                <w:sz w:val="22"/>
              </w:rPr>
              <w:t>____________________</w:t>
              <w:br/>
              <w:t>Date: 25/07/2026</w:t>
            </w:r>
          </w:p>
        </w:tc>
      </w:tr>
      <w:tr>
        <w:tc>
          <w:tcPr>
            <w:tcW w:type="dxa" w:w="4680"/>
          </w:tcPr>
          <w:p>
            <w:r>
              <w:rPr>
                <w:rFonts w:ascii="Times New Roman" w:hAnsi="Times New Roman"/>
                <w:b/>
                <w:sz w:val="22"/>
              </w:rPr>
              <w:t>____________________________</w:t>
              <w:br/>
              <w:t>Program Manager</w:t>
            </w:r>
          </w:p>
        </w:tc>
        <w:tc>
          <w:tcPr>
            <w:tcW w:type="dxa" w:w="4680"/>
          </w:tcPr>
          <w:p>
            <w:r>
              <w:rPr>
                <w:rFonts w:ascii="Times New Roman" w:hAnsi="Times New Roman"/>
                <w:b/>
                <w:sz w:val="22"/>
              </w:rPr>
              <w:t>____________________</w:t>
              <w:br/>
              <w:t>Date: 25/07/2026</w:t>
            </w:r>
          </w:p>
        </w:tc>
      </w:tr>
    </w:tbl>
    <w:p>
      <w:r>
        <w:br w:type="page"/>
      </w:r>
    </w:p>
    <w:p>
      <w:pPr>
        <w:spacing w:after="120"/>
      </w:pPr>
      <w:r>
        <w:rPr>
          <w:rFonts w:ascii="Times New Roman" w:hAnsi="Times New Roman"/>
          <w:color w:val="000000"/>
        </w:rPr>
        <w:t>PLAN MAESTRO DE ASEGURAMIENTO DE CALIDAD DE SOFTWARE (SQAP)</w:t>
      </w:r>
    </w:p>
    <w:p>
      <w:pPr>
        <w:spacing w:after="120"/>
      </w:pPr>
      <w:r>
        <w:rPr>
          <w:rFonts w:ascii="Times New Roman" w:hAnsi="Times New Roman"/>
          <w:color w:val="000000"/>
        </w:rPr>
        <w:t>SISTEMA DE GESTIÓN DE SALUD HOSPITALARIA (proyectoHospital)</w:t>
      </w:r>
    </w:p>
    <w:p>
      <w:pPr>
        <w:spacing w:after="120"/>
      </w:pPr>
      <w:r>
        <w:rPr>
          <w:rFonts w:ascii="Times New Roman" w:hAnsi="Times New Roman"/>
          <w:b/>
          <w:color w:val="000000"/>
        </w:rPr>
        <w:t>Código de Documento:</w:t>
      </w:r>
      <w:r>
        <w:rPr>
          <w:rFonts w:ascii="Times New Roman" w:hAnsi="Times New Roman"/>
          <w:color w:val="000000"/>
        </w:rPr>
        <w:t xml:space="preserve">       TM-SQA-01 v2.0</w:t>
      </w:r>
    </w:p>
    <w:p>
      <w:pPr>
        <w:spacing w:after="120"/>
      </w:pPr>
      <w:r>
        <w:rPr>
          <w:rFonts w:ascii="Times New Roman" w:hAnsi="Times New Roman"/>
          <w:b/>
          <w:color w:val="000000"/>
        </w:rPr>
        <w:t>Estándares de Referencia:</w:t>
      </w:r>
      <w:r>
        <w:rPr>
          <w:rFonts w:ascii="Times New Roman" w:hAnsi="Times New Roman"/>
          <w:color w:val="000000"/>
        </w:rPr>
        <w:t xml:space="preserve">  IEEE Std 730-2014 / ISO/IEC 25010:2023 / OWASP ASVS v4.0.3</w:t>
      </w:r>
    </w:p>
    <w:p>
      <w:pPr>
        <w:spacing w:after="120"/>
      </w:pPr>
      <w:r>
        <w:rPr>
          <w:rFonts w:ascii="Times New Roman" w:hAnsi="Times New Roman"/>
          <w:b/>
          <w:color w:val="000000"/>
        </w:rPr>
        <w:t>Entorno de Despliegue:</w:t>
      </w:r>
      <w:r>
        <w:rPr>
          <w:rFonts w:ascii="Times New Roman" w:hAnsi="Times New Roman"/>
          <w:color w:val="000000"/>
        </w:rPr>
        <w:t xml:space="preserve">     Docker Compose (ASP.NET Core 8.0 MVC + SQL Server 2022)</w:t>
      </w:r>
    </w:p>
    <w:p>
      <w:pPr>
        <w:spacing w:after="120"/>
      </w:pPr>
      <w:r>
        <w:rPr>
          <w:rFonts w:ascii="Times New Roman" w:hAnsi="Times New Roman"/>
          <w:b/>
          <w:color w:val="000000"/>
        </w:rPr>
        <w:t>Fecha de Certificación:</w:t>
      </w:r>
      <w:r>
        <w:rPr>
          <w:rFonts w:ascii="Times New Roman" w:hAnsi="Times New Roman"/>
          <w:color w:val="000000"/>
        </w:rPr>
        <w:t xml:space="preserve">    25 de Julio de 2026</w:t>
      </w:r>
    </w:p>
    <w:p>
      <w:pPr>
        <w:spacing w:after="120"/>
      </w:pPr>
      <w:r>
        <w:rPr>
          <w:rFonts w:ascii="Times New Roman" w:hAnsi="Times New Roman"/>
          <w:b/>
          <w:color w:val="000000"/>
        </w:rPr>
        <w:t>Estado del Documento:</w:t>
      </w:r>
      <w:r>
        <w:rPr>
          <w:rFonts w:ascii="Times New Roman" w:hAnsi="Times New Roman"/>
          <w:color w:val="000000"/>
        </w:rPr>
        <w:t xml:space="preserve">      APROBADO Y CERTIFICADO PARA PRODUCCIÓN</w:t>
      </w:r>
    </w:p>
    <w:p>
      <w:pPr>
        <w:spacing w:after="80"/>
      </w:pPr>
    </w:p>
    <w:p>
      <w:pPr>
        <w:spacing w:after="120"/>
      </w:pPr>
      <w:r>
        <w:rPr>
          <w:rFonts w:ascii="Times New Roman" w:hAnsi="Times New Roman"/>
          <w:color w:val="000000"/>
        </w:rPr>
        <w:t>ÍNDICE GENERAL DEL DOCUMENTO DE ASEGURAMIENTO DE CALIDAD</w:t>
      </w:r>
    </w:p>
    <w:p>
      <w:pPr>
        <w:pStyle w:val="Heading2"/>
        <w:spacing w:before="200" w:after="80"/>
      </w:pPr>
      <w:r>
        <w:rPr>
          <w:rFonts w:ascii="Times New Roman" w:hAnsi="Times New Roman"/>
          <w:b/>
          <w:color w:val="000000"/>
          <w:sz w:val="24"/>
        </w:rPr>
        <w:t>1. RESUMEN EJECUTIVO Y ESTRATEGIA INTEGRAL DE CALIDAD (SHIFT-LEFT TESTING)</w:t>
      </w:r>
    </w:p>
    <w:p>
      <w:pPr>
        <w:pStyle w:val="Heading2"/>
        <w:spacing w:before="200" w:after="80"/>
      </w:pPr>
      <w:r>
        <w:rPr>
          <w:rFonts w:ascii="Times New Roman" w:hAnsi="Times New Roman"/>
          <w:b/>
          <w:color w:val="000000"/>
          <w:sz w:val="24"/>
        </w:rPr>
        <w:t>2. ARQUITECTURA TÉCNICA Y ESTRUCTURA MULTICAPA DEL SISTEMA</w:t>
      </w:r>
    </w:p>
    <w:p>
      <w:pPr>
        <w:pStyle w:val="Heading2"/>
        <w:spacing w:before="200" w:after="80"/>
      </w:pPr>
      <w:r>
        <w:rPr>
          <w:rFonts w:ascii="Times New Roman" w:hAnsi="Times New Roman"/>
          <w:b/>
          <w:color w:val="000000"/>
          <w:sz w:val="24"/>
        </w:rPr>
        <w:t>3. MARCO NORMATIVO INTERNACIONAL (IEEE 730-2014, ISO/IEC 25010:2023, OWASP ASVS)</w:t>
      </w:r>
    </w:p>
    <w:p>
      <w:pPr>
        <w:pStyle w:val="Heading2"/>
        <w:spacing w:before="200" w:after="80"/>
      </w:pPr>
      <w:r>
        <w:rPr>
          <w:rFonts w:ascii="Times New Roman" w:hAnsi="Times New Roman"/>
          <w:b/>
          <w:color w:val="000000"/>
          <w:sz w:val="24"/>
        </w:rPr>
        <w:t>4. HERRAMIENTAS Y METODOLOGÍAS UTILIZADAS (TABLA DE SELECCIÓN Y JUSTIFICACIÓN)</w:t>
      </w:r>
    </w:p>
    <w:p>
      <w:pPr>
        <w:pStyle w:val="Heading2"/>
        <w:spacing w:before="200" w:after="80"/>
      </w:pPr>
      <w:r>
        <w:rPr>
          <w:rFonts w:ascii="Times New Roman" w:hAnsi="Times New Roman"/>
          <w:b/>
          <w:color w:val="000000"/>
          <w:sz w:val="24"/>
        </w:rPr>
        <w:t>5. MATRIZ EXTENDIDA DE MÉTRICAS DE CALIDAD CUANTIFICABLES</w:t>
      </w:r>
    </w:p>
    <w:p>
      <w:pPr>
        <w:pStyle w:val="Heading2"/>
        <w:spacing w:before="200" w:after="80"/>
      </w:pPr>
      <w:r>
        <w:rPr>
          <w:rFonts w:ascii="Times New Roman" w:hAnsi="Times New Roman"/>
          <w:b/>
          <w:color w:val="000000"/>
          <w:sz w:val="24"/>
        </w:rPr>
        <w:t>6. TABLAS INDIVIDUALES DE LAS 71 PRUEBAS AUTOMATIZADAS XUNIT</w:t>
      </w:r>
    </w:p>
    <w:p>
      <w:pPr>
        <w:pStyle w:val="Heading2"/>
        <w:spacing w:before="200" w:after="80"/>
      </w:pPr>
      <w:r>
        <w:rPr>
          <w:rFonts w:ascii="Times New Roman" w:hAnsi="Times New Roman"/>
          <w:b/>
          <w:color w:val="000000"/>
          <w:sz w:val="24"/>
        </w:rPr>
        <w:t>7. TABLAS INDIVIDUALES DE LAS 12 PRUEBAS DINÁMICAS HTTP (POSTMAN DAST)</w:t>
      </w:r>
    </w:p>
    <w:p>
      <w:pPr>
        <w:pStyle w:val="Heading2"/>
        <w:spacing w:before="200" w:after="80"/>
      </w:pPr>
      <w:r>
        <w:rPr>
          <w:rFonts w:ascii="Times New Roman" w:hAnsi="Times New Roman"/>
          <w:b/>
          <w:color w:val="000000"/>
          <w:sz w:val="24"/>
        </w:rPr>
        <w:t>8. TABLAS DE ESTRÉS MASIVO Y RENDIMIENTO (50 USUARIOS / 1,200 INSERCIONES BD)</w:t>
      </w:r>
    </w:p>
    <w:p>
      <w:pPr>
        <w:pStyle w:val="Heading2"/>
        <w:spacing w:before="200" w:after="80"/>
      </w:pPr>
      <w:r>
        <w:rPr>
          <w:rFonts w:ascii="Times New Roman" w:hAnsi="Times New Roman"/>
          <w:b/>
          <w:color w:val="000000"/>
          <w:sz w:val="24"/>
        </w:rPr>
        <w:t>9. TABLA DE USABILIDAD Y EXPERIENCIA DE USUARIO (HEURÍSTICAS DE NIELSEN &amp; SUS)</w:t>
      </w:r>
    </w:p>
    <w:p>
      <w:pPr>
        <w:spacing w:after="120"/>
      </w:pPr>
      <w:r>
        <w:rPr>
          <w:rFonts w:ascii="Times New Roman" w:hAnsi="Times New Roman"/>
          <w:color w:val="000000"/>
        </w:rPr>
        <w:t>10. EXPEDIENTE EN TABLAS DE LOS 16 DEFECTOS EN JIRA (BUG-01 A BUG-16)</w:t>
      </w:r>
    </w:p>
    <w:p>
      <w:pPr>
        <w:spacing w:after="120"/>
      </w:pPr>
      <w:r>
        <w:rPr>
          <w:rFonts w:ascii="Times New Roman" w:hAnsi="Times New Roman"/>
          <w:color w:val="000000"/>
        </w:rPr>
        <w:t>11. GESTIÓN DE CONFIGURACIÓN DE SOFTWARE (SCM), GIT Y CONTROL DE SECRETOS</w:t>
      </w:r>
    </w:p>
    <w:p>
      <w:pPr>
        <w:spacing w:after="120"/>
      </w:pPr>
      <w:r>
        <w:rPr>
          <w:rFonts w:ascii="Times New Roman" w:hAnsi="Times New Roman"/>
          <w:color w:val="000000"/>
        </w:rPr>
        <w:t>12. MATRIZ COMPLETA DE TRAZABILIDAD DE CALIDAD (REQUISITO - PRUEBA - DEFECTO)</w:t>
      </w:r>
    </w:p>
    <w:p>
      <w:pPr>
        <w:spacing w:after="120"/>
      </w:pPr>
      <w:r>
        <w:rPr>
          <w:rFonts w:ascii="Times New Roman" w:hAnsi="Times New Roman"/>
          <w:color w:val="000000"/>
        </w:rPr>
        <w:t>13. CONCLUSIÓN FINAL, DICTAMEN DE APROBACIÓN Y CERTIFICACIÓN TÉCNICA SQA</w:t>
      </w:r>
    </w:p>
    <w:p>
      <w:pPr>
        <w:spacing w:after="80"/>
      </w:pPr>
    </w:p>
    <w:p>
      <w:pPr>
        <w:pStyle w:val="Heading1"/>
        <w:spacing w:before="280" w:after="120"/>
      </w:pPr>
      <w:r>
        <w:rPr>
          <w:rFonts w:ascii="Times New Roman" w:hAnsi="Times New Roman"/>
          <w:b/>
          <w:color w:val="000000"/>
          <w:sz w:val="28"/>
        </w:rPr>
        <w:t>SECCIÓN 1. RESUMEN EJECUTIVO Y ESTRATEGIA INTEGRAL DE CALIDAD</w:t>
      </w:r>
    </w:p>
    <w:p>
      <w:pPr>
        <w:spacing w:after="120"/>
      </w:pPr>
      <w:r>
        <w:rPr>
          <w:rFonts w:ascii="Times New Roman" w:hAnsi="Times New Roman"/>
          <w:color w:val="000000"/>
        </w:rPr>
        <w:t>El presente Plan Maestro de Aseguramiento de Calidad de Software (SQAP) consolida</w:t>
      </w:r>
    </w:p>
    <w:p>
      <w:pPr>
        <w:spacing w:after="120"/>
      </w:pPr>
      <w:r>
        <w:rPr>
          <w:rFonts w:ascii="Times New Roman" w:hAnsi="Times New Roman"/>
          <w:color w:val="000000"/>
        </w:rPr>
        <w:t>la estrategia, diseño de arquitectura de pruebas, ejecución técnica, métricas</w:t>
      </w:r>
    </w:p>
    <w:p>
      <w:pPr>
        <w:spacing w:after="120"/>
      </w:pPr>
      <w:r>
        <w:rPr>
          <w:rFonts w:ascii="Times New Roman" w:hAnsi="Times New Roman"/>
          <w:color w:val="000000"/>
        </w:rPr>
        <w:t>cuantificables y verificación final del Sistema de Gestión de Salud Hospitalaria ('proyectoHospital').</w:t>
      </w:r>
    </w:p>
    <w:p>
      <w:pPr>
        <w:spacing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Métrica de Calidad</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Umbral Mínimo Requerido</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Valor Obtenido SQA</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Estado Final</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Cobertura de Código (HTML)</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&gt;= 80.0%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85.8% (333/388 lin)</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Cobertura Global SonarQube</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&gt;= 80.0%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82.3%</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Pruebas Automatizadas xUnit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100% Exitosas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71/71 (100% Pass)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Pruebas de Estrés (Resiliencia)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100% Éxito (0 Fallos)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1,200/1,200 Inserc.</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Defectos Críticos (Blocker)</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0 Defectos Activos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0 (16/16 Cerrados)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Puntaje Usabilidad (SUS)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&gt;= 80.0 / 100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85.0 / 100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bl>
    <w:p>
      <w:pPr>
        <w:spacing w:after="120"/>
      </w:pPr>
    </w:p>
    <w:p>
      <w:pPr>
        <w:pStyle w:val="Heading1"/>
        <w:spacing w:before="280" w:after="120"/>
      </w:pPr>
      <w:r>
        <w:rPr>
          <w:rFonts w:ascii="Times New Roman" w:hAnsi="Times New Roman"/>
          <w:b/>
          <w:color w:val="000000"/>
          <w:sz w:val="28"/>
        </w:rPr>
        <w:t>SECCIÓN 4. TABLA MAESTRA DE HERRAMIENTAS Y JUSTIFICACIÓN TÉCNICA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Herramienta SQA</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Categoría de Uso</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Justificación de Selección</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Uso Específico en Proyecto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xUnit v2.8.1</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Pruebas Unitarias C#</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Aislamiento total de estados por clase, garantizando pruebas independientes.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Construcción de 71 pruebas automatizadas unitarias, de integración y de seguridad.</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Moq v4.20.70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Mocking de Objetos .NET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Simula HttpContext, TempData y UrlHelper sin requerir servidor web físico.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Prueba de controladores MVC en memoria mediante CrearMockControllerContext().</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FluentAssertions v6.12.0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Aserciones Expresivas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Sintaxis fluida que mejora la legibilidad y mensajes descriptivos de error.</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Aserciones en el 100% de las 71 pruebas automatizadas en C#.</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ReportGenerator v5.3.8</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Reportes de Cobertura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Transforma Cobertura XML en HTML visual con filtros de infraestructura.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Generación del reporte interactivo con 85.8% de cobertura limpia en HTML.</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SonarQube Server 10.x</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Análisis Estático (SAST)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Estándar de la industria para detección de OWASP, code smells y deuda técnica.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Auditoría de 36 archivos C#, detección de S2077, S3776 y cobertura del 82.3%.</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Postman v11 &amp; Newman</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Pruebas Dinámicas (DAST)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Evaluación en tiempo de ejecución enviando cuerpos Form UrlEncoded y RAW JSON.</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Construcción de 12 escenarios de prueba HTTP evaluando XSS, SQLi y DTOs.</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Python 3 (concurrent)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Prueba de Estrés Masivo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Manejo nativo de hilos en paralelo mediante ThreadPoolExecutor.</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Script load_test.py para inyectar 1,200 inserciones bajo 50 usuarios concurrentes.</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Jira Software Cloud</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Gestión de Defectos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Tableros ágiles, flujos de trabajo y trazabilidad de incidencias y épicas.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Seguimiento y cierre del 100% de los 16 defectos catalogados (BUG-01 a BUG-16).</w:t>
            </w:r>
          </w:p>
        </w:tc>
      </w:tr>
    </w:tbl>
    <w:p>
      <w:pPr>
        <w:spacing w:after="120"/>
      </w:pPr>
    </w:p>
    <w:p>
      <w:pPr>
        <w:spacing w:after="80"/>
      </w:pPr>
    </w:p>
    <w:p>
      <w:pPr>
        <w:pStyle w:val="Heading1"/>
        <w:spacing w:before="280" w:after="120"/>
      </w:pPr>
      <w:r>
        <w:rPr>
          <w:rFonts w:ascii="Times New Roman" w:hAnsi="Times New Roman"/>
          <w:b/>
          <w:color w:val="000000"/>
          <w:sz w:val="28"/>
        </w:rPr>
        <w:t>SECCIÓN 6. TABLAS DETALLADAS DE LAS 71 PRUEBAS AUTOMATIZADAS XUNIT</w:t>
      </w:r>
    </w:p>
    <w:p>
      <w:pPr>
        <w:spacing w:after="120"/>
      </w:pPr>
      <w:r>
        <w:rPr>
          <w:rFonts w:ascii="Times New Roman" w:hAnsi="Times New Roman"/>
          <w:b/>
          <w:color w:val="000000"/>
        </w:rPr>
        <w:t>Se presenta cada una de las 71 pruebas automatizadas estructurada en una tabla individual:</w:t>
      </w:r>
      <w:r>
        <w:rPr>
          <w:rFonts w:ascii="Times New Roman" w:hAnsi="Times New Roman"/>
          <w:color w:val="000000"/>
        </w:rPr>
      </w: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Integración MVC (Mock ControllerContext)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ControllersTests.cs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integración fluida entre los controladores MVC, TempDataDictionary y UrlHelperFactory.</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Integración MVC (Mock ControllerContext)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ControllersTests.cs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integración fluida entre los controladores MVC, TempDataDictionary y UrlHelperFactory.</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Integración MVC (Mock ControllerContext)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ControllersTests.cs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integración fluida entre los controladores MVC, TempDataDictionary y UrlHelperFactory.</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Integración MVC (Mock ControllerContext)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ControllersTests.cs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integración fluida entre los controladores MVC, TempDataDictionary y UrlHelperFactory.</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#70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#70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#71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#71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p>
      <w:pPr>
        <w:pStyle w:val="Heading1"/>
        <w:spacing w:before="280" w:after="120"/>
      </w:pPr>
      <w:r>
        <w:rPr>
          <w:rFonts w:ascii="Times New Roman" w:hAnsi="Times New Roman"/>
          <w:b/>
          <w:color w:val="000000"/>
          <w:sz w:val="28"/>
        </w:rPr>
        <w:t>SECCIÓN 7. TABLAS DETALLADAS DE LAS 12 PRUEBAS DINÁMICAS HTTP EN POSTMAN</w:t>
      </w:r>
    </w:p>
    <w:p>
      <w:pPr>
        <w:spacing w:after="120"/>
      </w:pPr>
      <w:r>
        <w:rPr>
          <w:rFonts w:ascii="Times New Roman" w:hAnsi="Times New Roman"/>
          <w:b/>
          <w:color w:val="000000"/>
        </w:rPr>
        <w:t>Cada escenario HTTP de la colección Postman se estructura en una tabla dedicada:</w:t>
      </w:r>
      <w:r>
        <w:rPr>
          <w:rFonts w:ascii="Times New Roman" w:hAnsi="Times New Roman"/>
          <w:color w:val="000000"/>
        </w:rPr>
      </w: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correo=admin@hospital.com&amp;clave=Admin123!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autenticación exitosa con credenciales válidas y generación de Cookie de Sesión.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302 - Cookie activa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raw (application/json)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 "admin@hospital.com", "clave": "Admin123!"}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Evaluar resiliencia cuando un cliente API envía JSON puro sin el atributo [FromBody] en el controlador.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Sin StackOverflow</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correo=admin@hospital.com&amp;clave=ClaveErronea999!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rechazo controlado de autenticación con contraseña incorrecta mostrando vista de error.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Mensaje de alerta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correo=usuario_inexistente@noexiste.com&amp;clave=123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Comprobar que el servidor no revele la existencia de cuentas ni lance excepciones SqlException de BD.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Error genérico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GET /Tratamientos/ListarTratamientos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N/A (GET)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Sin Cookie de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control de acceso impidiendo el bypass de URL protegida a usuarios no autenticados.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302 Redirect a /Acceso/Login</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SQLi-01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SQLi-01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correo=admin' OR '1'='1' --&amp;clave=123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Evaluar la sanitización de parámetros contra ataques tautológicos clásicos de Inyección SQL.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Sanitización exitosa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SQLi-01-RAW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SQLi-01-RAW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raw (application/json)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 "admin' OR '1'='1 --", "clave": "123"}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deserialización segura de entradas JSON que contienen apóstrofes y comentarios SQL.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Sin error de sintaxis SQL</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SQLi-02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SQLi-02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 DROP TABLE Usuario; --&amp;clave=123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Comprobar el bloqueo de ejecución de comandos SQL apilados o destructivos en SQL Server.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BD Intacta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SQLi-03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SQLi-03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 UNION SELECT 1, 'admin', 'hash' --&amp;clave=123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neutralización de consultas combinadas por unión (UNION SELECT).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Sanitizado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XSS-01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XSS-01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/Pacientes/GuardarPaciente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Nombre=&lt;script&gt;alert('XSS')&lt;/script&gt;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que las etiquetas script inyectadas sean codificadas en HTML al renderizarse en el DOM.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Codificado HTML</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XSS-01-RAW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XSS-01-RAW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/Pacientes/GuardarPaciente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raw (application/json)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{"Nombre": "&lt;script&gt;alert('XSS')&lt;/script&gt;"}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Evaluar la sanitización de entradas HTML maliciosas provistas mediante un cuerpo JSON 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Script neutralizado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XSS-02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XSS-02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/Medicos/GuardarMedico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Nombre=&lt;img src=x onerror=alert('XSS')&gt;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Comprobar que los atributos dinámicos del DOM (onerror, onload) sean neutralizados por las vistas Razor.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Atributo Sanitizado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VAL-01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/Acceso/Registrar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clave=Pass123!&amp;confClave=Diferente999!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rechazo de DTO de registro cuando las contraseñas no coinciden.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Alerta DTO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VAL-02-RAW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VAL-02-RAW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/Pacientes/GuardarPaciente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raw (application/json)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{"Cedula": "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Evaluar la estabilidad del parser JSON y Kestrel ante ráfagas con cadenas de longitud extrema (&gt;500 chars).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Estabilidad mantenida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VAL-03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/Pacientes/EliminarPaciente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id=-1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Comprobar la tolerancia a fallos cuando se envía un identificador negativo o inválido.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Sin NullReference</w:t>
            </w:r>
          </w:p>
        </w:tc>
      </w:tr>
    </w:tbl>
    <w:p>
      <w:pPr>
        <w:spacing w:after="120"/>
      </w:pPr>
    </w:p>
    <w:p>
      <w:pPr>
        <w:spacing w:after="80"/>
      </w:pPr>
    </w:p>
    <w:p>
      <w:pPr>
        <w:pStyle w:val="Heading1"/>
        <w:spacing w:before="280" w:after="120"/>
      </w:pPr>
      <w:r>
        <w:rPr>
          <w:rFonts w:ascii="Times New Roman" w:hAnsi="Times New Roman"/>
          <w:b/>
          <w:color w:val="000000"/>
          <w:sz w:val="28"/>
        </w:rPr>
        <w:t>SECCIÓN 8. PRUEBAS DE ESTRÉS MASIVO Y RENDIMIENTO (EXTREMED PERFORMANCE TESTING)</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Módulo Evaluado</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Concurrencia</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Peticiones</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Éxito BD</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Throughput (RPS)</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Avg</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P50</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P90</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P95</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P99</w:t>
            </w:r>
          </w:p>
        </w:tc>
        <w:tc>
          <w:tcPr>
            <w:tcW w:type="dxa" w:w="851"/>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Max</w:t>
            </w:r>
          </w:p>
        </w:tc>
      </w:tr>
      <w:tr>
        <w:tc>
          <w:tcPr>
            <w:tcW w:type="dxa" w:w="851"/>
            <w:tcMar>
              <w:top w:w="80" w:type="dxa"/>
              <w:bottom w:w="80" w:type="dxa"/>
              <w:left w:w="100" w:type="dxa"/>
              <w:right w:w="100" w:type="dxa"/>
            </w:tcMar>
          </w:tcPr>
          <w:p>
            <w:pPr>
              <w:spacing w:after="40" w:before="40"/>
            </w:pPr>
            <w:r>
              <w:rPr>
                <w:rFonts w:ascii="Times New Roman" w:hAnsi="Times New Roman"/>
                <w:b/>
                <w:color w:val="000000"/>
                <w:sz w:val="19"/>
              </w:rPr>
              <w:t>1. Pacientes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1,309.73 r/s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19.33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15.20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28.40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31.95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42.10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46.52 ms</w:t>
            </w:r>
          </w:p>
        </w:tc>
      </w:tr>
      <w:tr>
        <w:tc>
          <w:tcPr>
            <w:tcW w:type="dxa" w:w="851"/>
            <w:tcMar>
              <w:top w:w="80" w:type="dxa"/>
              <w:bottom w:w="80" w:type="dxa"/>
              <w:left w:w="100" w:type="dxa"/>
              <w:right w:w="100" w:type="dxa"/>
            </w:tcMar>
          </w:tcPr>
          <w:p>
            <w:pPr>
              <w:spacing w:after="40" w:before="40"/>
            </w:pPr>
            <w:r>
              <w:rPr>
                <w:rFonts w:ascii="Times New Roman" w:hAnsi="Times New Roman"/>
                <w:b/>
                <w:color w:val="000000"/>
                <w:sz w:val="19"/>
              </w:rPr>
              <w:t>2. Médicos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1,383.11 r/s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21.02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17.10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31.20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36.83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41.50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43.36 ms</w:t>
            </w:r>
          </w:p>
        </w:tc>
      </w:tr>
      <w:tr>
        <w:tc>
          <w:tcPr>
            <w:tcW w:type="dxa" w:w="851"/>
            <w:tcMar>
              <w:top w:w="80" w:type="dxa"/>
              <w:bottom w:w="80" w:type="dxa"/>
              <w:left w:w="100" w:type="dxa"/>
              <w:right w:w="100" w:type="dxa"/>
            </w:tcMar>
          </w:tcPr>
          <w:p>
            <w:pPr>
              <w:spacing w:after="40" w:before="40"/>
            </w:pPr>
            <w:r>
              <w:rPr>
                <w:rFonts w:ascii="Times New Roman" w:hAnsi="Times New Roman"/>
                <w:b/>
                <w:color w:val="000000"/>
                <w:sz w:val="19"/>
              </w:rPr>
              <w:t>3. Citas Médicas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1,195.13 r/s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15.60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12.40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26.10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33.20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38.90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41.17 ms</w:t>
            </w:r>
          </w:p>
        </w:tc>
      </w:tr>
      <w:tr>
        <w:tc>
          <w:tcPr>
            <w:tcW w:type="dxa" w:w="851"/>
            <w:tcMar>
              <w:top w:w="80" w:type="dxa"/>
              <w:bottom w:w="80" w:type="dxa"/>
              <w:left w:w="100" w:type="dxa"/>
              <w:right w:w="100" w:type="dxa"/>
            </w:tcMar>
          </w:tcPr>
          <w:p>
            <w:pPr>
              <w:spacing w:after="40" w:before="40"/>
            </w:pPr>
            <w:r>
              <w:rPr>
                <w:rFonts w:ascii="Times New Roman" w:hAnsi="Times New Roman"/>
                <w:b/>
                <w:color w:val="000000"/>
                <w:sz w:val="19"/>
              </w:rPr>
              <w:t>4. Tratamientos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1,649.43 r/s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15.96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11.80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22.50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26.79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32.40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36.67 ms</w:t>
            </w:r>
          </w:p>
        </w:tc>
      </w:tr>
      <w:tr>
        <w:tc>
          <w:tcPr>
            <w:tcW w:type="dxa" w:w="851"/>
            <w:tcMar>
              <w:top w:w="80" w:type="dxa"/>
              <w:bottom w:w="80" w:type="dxa"/>
              <w:left w:w="100" w:type="dxa"/>
              <w:right w:w="100" w:type="dxa"/>
            </w:tcMar>
          </w:tcPr>
          <w:p>
            <w:pPr>
              <w:spacing w:after="40" w:before="40"/>
            </w:pPr>
            <w:r>
              <w:rPr>
                <w:rFonts w:ascii="Times New Roman" w:hAnsi="Times New Roman"/>
                <w:b/>
                <w:color w:val="000000"/>
                <w:sz w:val="19"/>
              </w:rPr>
              <w:t>5. Facturación</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1,607.04 r/s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16.45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13.20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25.80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31.46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37.80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41.98 ms</w:t>
            </w:r>
          </w:p>
        </w:tc>
      </w:tr>
      <w:tr>
        <w:tc>
          <w:tcPr>
            <w:tcW w:type="dxa" w:w="851"/>
            <w:tcMar>
              <w:top w:w="80" w:type="dxa"/>
              <w:bottom w:w="80" w:type="dxa"/>
              <w:left w:w="100" w:type="dxa"/>
              <w:right w:w="100" w:type="dxa"/>
            </w:tcMar>
          </w:tcPr>
          <w:p>
            <w:pPr>
              <w:spacing w:after="40" w:before="40"/>
            </w:pPr>
            <w:r>
              <w:rPr>
                <w:rFonts w:ascii="Times New Roman" w:hAnsi="Times New Roman"/>
                <w:b/>
                <w:color w:val="000000"/>
                <w:sz w:val="19"/>
              </w:rPr>
              <w:t>6. Especialidades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1,665.79 r/s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16.05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12.10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23.40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27.47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31.90 ms</w:t>
            </w:r>
          </w:p>
        </w:tc>
        <w:tc>
          <w:tcPr>
            <w:tcW w:type="dxa" w:w="851"/>
            <w:tcMar>
              <w:top w:w="80" w:type="dxa"/>
              <w:bottom w:w="80" w:type="dxa"/>
              <w:left w:w="100" w:type="dxa"/>
              <w:right w:w="100" w:type="dxa"/>
            </w:tcMar>
          </w:tcPr>
          <w:p>
            <w:pPr>
              <w:spacing w:after="40" w:before="40"/>
            </w:pPr>
            <w:r>
              <w:rPr>
                <w:rFonts w:ascii="Times New Roman" w:hAnsi="Times New Roman"/>
                <w:color w:val="000000"/>
                <w:sz w:val="19"/>
              </w:rPr>
              <w:t>34.61 ms</w:t>
            </w:r>
          </w:p>
        </w:tc>
      </w:tr>
    </w:tbl>
    <w:p>
      <w:pPr>
        <w:spacing w:after="120"/>
      </w:pPr>
    </w:p>
    <w:p>
      <w:pPr>
        <w:spacing w:after="80"/>
      </w:pPr>
    </w:p>
    <w:p>
      <w:pPr>
        <w:pStyle w:val="Heading1"/>
        <w:spacing w:before="280" w:after="120"/>
      </w:pPr>
      <w:r>
        <w:rPr>
          <w:rFonts w:ascii="Times New Roman" w:hAnsi="Times New Roman"/>
          <w:b/>
          <w:color w:val="000000"/>
          <w:sz w:val="28"/>
        </w:rPr>
        <w:t>SECCIÓN 9. TABLA DE EVALUACIÓN DE USABILIDAD (HEURÍSTICAS DE NIELSEN &amp; SUS)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Heurística de Nielsen</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Evaluación en la Aplicación Hospitalaria</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Estado SQA</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1</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Visibilidad del estado del sistema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Alertas y mensajes descriptivos tras cada acción en la vista.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2</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Coincidencia entre el sistema y el mundo real</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Términos médicos estándar y fechas legibles en formato ISO.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3</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Control y libertad del usuario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Modales de creación/edición cancelables sin alterar la BD.</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4</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Consistencia y estándares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Diseño de interfaz unificado basado en CSS moderno y botones estándar.</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5</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Prevención de errores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Validación de DTOs antes del envío al servidor y atributos [Required].</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6</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Reconocimiento antes que recuerdo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Desplegables mostrando Nombre/Apellido en lugar de IDs (BUG-14).</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7</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Flexibilidad y eficiencia de uso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Cajas de búsqueda dinámica en tiempo real en grillas principales.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8</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Estética y diseño minimalista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Interfaz limpia sin elementos redundantes que distraigan al personal.</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9</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Reconocer, diagnosticar y recuperarse de errores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Cuadro de alerta descriptivo renderizando ViewData['mensaje'] (BUG-15).</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10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Documentación y ayuda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Guía de desarrollo y manuales integrados en el repositorio.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bl>
    <w:p>
      <w:pPr>
        <w:spacing w:after="120"/>
      </w:pPr>
    </w:p>
    <w:p>
      <w:pPr>
        <w:spacing w:after="80"/>
      </w:pPr>
    </w:p>
    <w:p>
      <w:pPr>
        <w:pStyle w:val="Heading1"/>
        <w:spacing w:before="280" w:after="120"/>
      </w:pPr>
      <w:r>
        <w:rPr>
          <w:rFonts w:ascii="Times New Roman" w:hAnsi="Times New Roman"/>
          <w:b/>
          <w:color w:val="000000"/>
          <w:sz w:val="28"/>
        </w:rPr>
        <w:t>SECCIÓN 10. EXPEDIENTE EN TABLAS DE LOS 16 DEFECTOS EN JIRA (BUG-01 A BUG-16)</w:t>
      </w:r>
    </w:p>
    <w:p>
      <w:pPr>
        <w:spacing w:after="120"/>
      </w:pPr>
      <w:r>
        <w:rPr>
          <w:rFonts w:ascii="Times New Roman" w:hAnsi="Times New Roman"/>
          <w:b/>
          <w:color w:val="000000"/>
        </w:rPr>
        <w:t>Cada defecto remediado se presenta estructurado en su propia tabla técnica:</w:t>
      </w:r>
      <w:r>
        <w:rPr>
          <w:rFonts w:ascii="Times New Roman" w:hAnsi="Times New Roman"/>
          <w:color w:val="000000"/>
        </w:rPr>
      </w: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Omisión de validación ModelState.IsValid en AccesoController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Highest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 acción Login procesaba el DTO sin comprobar ModelState.IsValid, permitiendo pasar valores nulos al servicio.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procesamiento de modelos malformados o errores NullReference en CapaNegocio.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agregó la condición 'if (!ModelState.IsValid) return View(objUser);' al inicio de la acción.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Método Encriptar no estático en AccesoController (SonarQube S2325)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Low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método utilitario Encriptar no accedía a atributos de instancia del controlador, violando la regla S2325.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Advertencia de mantenibilidad y consumo innecesario de memoria en instancias de controlador.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declaró la firma del método como 'public static string Encriptar(string texto)'.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bypass de autorización por rol en métodos de filtro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Highest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 RBAC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Las acciones de filtrado en varios controladores carecían del atributo [Authorize], permitiendo invocaciones directas.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Vulnerabilidad de elevación de privilegios donde usuarios no autenticados podían consultar datos sensibles.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aplicó el atributo '[Authorize(Roles = "Admin, Usuario")]' a nivel de clase de controlador.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PacientesController.cs / TratamientosController.cs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Alta complejidad cognitiva (&gt;21) en lectura de pacientes (PacienteDAL.cs - S3776)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método ListarPacientes contenía múltiples bucles y bloques try-catch anidados superando el umbral 21 de SonarQube.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Deuda técnica severa que dificulta la mantenibilidad, lectura y cobertura de pruebas unitarias.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Refactorización modular dividiendo la conversión de SqlDataReader en métodos estáticos auxiliares.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PacienteDAL.cs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Inexistencia de validación de DTO en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 acción GuardarPaciente aceptaba modelos con datos obligatorios vacíos (Nombre, Cédula nulos).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Inserción de registros corruptos en la base de datos o fallos de SQL por restricción NOT NULL.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agregaron anotaciones [Required] y [StringLength] en la clase PacienteCLS y validación ModelState.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PacienteCLS.cs / PacientesController.cs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Lanzamiento genérico throw new Exception() destruyendo stack trace en CitasDAL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Medium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Los bloques catch capturaban SqlException y relanzaban 'throw new Exception(e.Message)'.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Pérdida de la traza original de la excepción (stack trace), imposibilitando el diagnóstico en logs.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reemplazaron los bloques catch por 'throw;' directo para preservar la traza original del error.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CitasDAL.cs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Biblioteca obsoleta System.Data.SqlClient (CS0618) en CitasDAL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Medium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utilizaba el espacio de nombres legado System.Data.SqlClient marcado como en desuso por Microsoft.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Riesgos de compatibilidad futura con .NET 8 y falta de parches de rendimiento y seguridad.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Migración completa de todas las referencias de la capa DAL al paquete Microsoft.Data.SqlClient.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CapaDatos.csproj / CitasDAL.cs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Omisión de ModelState.IsValid en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controlador de Tratamientos guardaba prescripciones médicas sin verificar la validez del modelo DTO.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guardar tratamientos con costos negativos o descripciones nulas.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incorporó la validación 'if (!ModelState.IsValid) return View(oTratamientoCLS);'.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Redirección sin feedback al denegar acceso al rol Secretario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Low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Presentación / UX</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Al intentar ingresar al módulo de Tratamientos con rol Secretario, se redirigía a Home sin mensaje explicativo.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Mala experiencia de usuario (UX) generando confusión sobre por qué se denegó la acción.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implementó el registro del mensaje de advertencia en TempData["mensaje"] al interceptar el rol.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TratamientosController.cs / Home/Index.cshtml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Omisión de ModelState.IsValid en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módulo de cobros procesaba facturas sin comprobar que el monto pagado fuera un valor numérico válido.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inconsistencia financiera e inserción de facturas con valores cero o negativos.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añadieron validaciones [Range(0.01, 100000)] en FacturacionCLS y verificación ModelState.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FacturacionCLS.cs / FacturacionController.cs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Inyección SQL (S2077) por cadenas concatenadas en GenericDAL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Highest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construían comandos SQL concatenando cadenas directamente: 'SELECT * FROM ' + tabla + ' WHERE id=' + id.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Vulnerabilidad crítica OWASP A03 permitiendo la ejecución de comandos SQL maliciosos arbitrarios.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Reemplazo total por llamados a Procedimientos Almacenados y objetos SqlCommand con AddWithValue.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GenericDAL.cs / DatabaseInitializer.cs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Exposición de SA_PASSWORD en texto plano en docker-compose.yml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Highest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Infraestructura</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 contraseña de administración de SQL Server estaba escrita en texto plano en la raíz del repositorio.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fuga de credenciales críticas si el código es expuesto en repositorios públicos.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extrajo la credencial al archivo de entorno '.env' e incluyó '.env' en el archivo '.gitignore'.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docker-compose.yml / .env / .gitignore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Muestra de IDs numéricos en lugar de Nombres en grilla de Citas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Medium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Presentación / UX</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 tabla principal de Citas mostraba 'PacienteID: 1' y 'MedicoID: 1' y fechas en formato ISO técnico.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Violación del Principio 2 de Nielsen (Coincidencia con el mundo real), dificultando la lectura al usuario.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modificó el Procedimiento Almacenado con INNER JOIN para retornar Nombres y Apellidos completos.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uspListarCitas / Citas/Index.cshtml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Desplegables de Paciente/Médico muestran IDs y título incorrecto en Modal Citas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Medium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Presentación / UX</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formulario modal decía 'Formulario de Laboratorio' y los combos &lt;select&gt; mostraban números (1, 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Confusión de usabilidad al agendar citas médicas al no reconocer qué médico se seleccionaba.</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corrigió el título a 'Formulario de Citas' y se poblaron los desplegables con Nombres y Apellidos.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Citas/Index.cshtml / CitasController.cs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Cuadro de alerta de error en blanco al ingresar credenciales incorrectas en 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Autenticación / UX</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Al ingresar un usuario o clave inválidos, la vista renderizaba un banner de alerta rojo vacio.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Violación del Principio 9 de Nielsen (Ayudar a reconocer errores), impidiendo al usuario saber qué falló.</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corrigió la vista Razor condicional para renderizar el texto '@ViewData["mensaje"]'.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Acceso/Login.cshtml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Excepción unhandled HTTP 500 (NullReference) al enviar Payload RAW en 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Al enviar peticiones HTTP POST en formato RAW JSON ('application/json'), objUser.clave era null y Encriptar(null) fallaba.</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Caída del servidor Kestrel con error HTTP 500 al recibir peticiones malformadas desde herramientas API.</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agregó una cláusula defensiva Null Guard: 'if (string.IsNullOrEmpty(objUser?.clave)) return View();'.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p>
      <w:pPr>
        <w:pStyle w:val="Heading1"/>
        <w:spacing w:before="280" w:after="120"/>
      </w:pPr>
      <w:r>
        <w:rPr>
          <w:rFonts w:ascii="Times New Roman" w:hAnsi="Times New Roman"/>
          <w:b/>
          <w:color w:val="000000"/>
          <w:sz w:val="28"/>
        </w:rPr>
        <w:t>SECCIÓN 12. MATRIZ COMPLETA DE TRAZABILIDAD DE CALIDAD (REQUISITO - PRUEBA - DEFECTO)</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ID Requisito</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ID Caso Prueba</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Descripción Caso de Prueba</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Herramienta / Método</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Defecto Jira</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Estado Final</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Login exitoso con credenciales válidas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 Manual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Hashing de contraseña SHA-256 unidireccional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(SecurityTests)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Control de acceso restrictivo rol Secretario</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 Cypress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Registro de Paciente con campos obligatorios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(PacienteBL)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Validación ModelState en creación Paciente</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(PacientesCtrl)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Manejo controlado de excepciones en CitasDAL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(CitasBL)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CP-07</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Migración a Microsoft.Data.SqlClient (CS0618)</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Auditoría SAST</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BUG-07</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CP-08</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Validación de DTO en TratamientosController</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(Tratamientos)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BUG-08</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CP-09</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Feedback de redirección en acceso denegado</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Manual / UI</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BUG-09</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CP-10</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Validación de DTO en FacturacionController</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(Facturacion)</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BUG-10</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Sanitización de consultas y SP parametrizados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 SonarQube</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Aislamiento de secretos SA_PASSWORD en .env</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Auditoría Git</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Renderizado de Nombres y fechas ISO en Citas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Manual / UI</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Desplegables con Nombres en Modal de Citas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Manual / UI</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Alerta descriptiva en login con clave errónea</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Manual / UI</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Manejo de NullReference y Payload RAW Login</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Postman / xUnit</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bl>
    <w:p>
      <w:pPr>
        <w:spacing w:after="120"/>
      </w:pPr>
    </w:p>
    <w:p>
      <w:pPr>
        <w:spacing w:after="80"/>
      </w:pPr>
    </w:p>
    <w:p>
      <w:pPr>
        <w:pStyle w:val="Heading1"/>
        <w:spacing w:before="280" w:after="120"/>
      </w:pPr>
      <w:r>
        <w:rPr>
          <w:rFonts w:ascii="Times New Roman" w:hAnsi="Times New Roman"/>
          <w:b/>
          <w:color w:val="000000"/>
          <w:sz w:val="28"/>
        </w:rPr>
        <w:t>SECCIÓN 13. CONCLUSIÓN FINAL, DICTAMEN DE APROBACIÓN Y CERTIFICACIÓN TÉCNICA SQA</w:t>
      </w:r>
    </w:p>
    <w:p>
      <w:pPr>
        <w:spacing w:after="120"/>
      </w:pPr>
      <w:r>
        <w:rPr>
          <w:rFonts w:ascii="Times New Roman" w:hAnsi="Times New Roman"/>
          <w:color w:val="000000"/>
        </w:rPr>
        <w:t>El Sistema de Gestión de Salud Hospitalaria ('proyectoHospital') ha completado de</w:t>
      </w:r>
    </w:p>
    <w:p>
      <w:pPr>
        <w:spacing w:after="120"/>
      </w:pPr>
      <w:r>
        <w:rPr>
          <w:rFonts w:ascii="Times New Roman" w:hAnsi="Times New Roman"/>
          <w:color w:val="000000"/>
        </w:rPr>
        <w:t>manera satisfactoria todas las fases de verificación técnica, auditoría estática,</w:t>
      </w:r>
    </w:p>
    <w:p>
      <w:pPr>
        <w:spacing w:after="120"/>
      </w:pPr>
      <w:r>
        <w:rPr>
          <w:rFonts w:ascii="Times New Roman" w:hAnsi="Times New Roman"/>
          <w:color w:val="000000"/>
        </w:rPr>
        <w:t>pruebas de seguridad OWASP, pruebas de usabilidad ISO 25010 y pruebas de estrés masivo.</w:t>
      </w:r>
    </w:p>
    <w:p>
      <w:pPr>
        <w:spacing w:after="80"/>
      </w:pPr>
    </w:p>
    <w:p>
      <w:pPr>
        <w:spacing w:after="120"/>
      </w:pPr>
      <w:r>
        <w:rPr>
          <w:rFonts w:ascii="Times New Roman" w:hAnsi="Times New Roman"/>
          <w:b/>
          <w:color w:val="000000"/>
        </w:rPr>
        <w:t>Aprobado por:</w:t>
      </w:r>
      <w:r>
        <w:rPr>
          <w:rFonts w:ascii="Times New Roman" w:hAnsi="Times New Roman"/>
          <w:color w:val="000000"/>
        </w:rPr>
        <w:t xml:space="preserve">       Equipo de Ingeniería de Calidad &amp; SQA</w:t>
      </w:r>
    </w:p>
    <w:p>
      <w:pPr>
        <w:spacing w:after="120"/>
      </w:pPr>
      <w:r>
        <w:rPr>
          <w:rFonts w:ascii="Times New Roman" w:hAnsi="Times New Roman"/>
          <w:b/>
          <w:color w:val="000000"/>
        </w:rPr>
        <w:t>Fecha de Certificación:</w:t>
      </w:r>
      <w:r>
        <w:rPr>
          <w:rFonts w:ascii="Times New Roman" w:hAnsi="Times New Roman"/>
          <w:color w:val="000000"/>
        </w:rPr>
        <w:t xml:space="preserve"> 25 de Julio de 2026</w:t>
      </w:r>
    </w:p>
    <w:p>
      <w:pPr>
        <w:spacing w:after="120"/>
      </w:pPr>
      <w:r>
        <w:rPr>
          <w:rFonts w:ascii="Times New Roman" w:hAnsi="Times New Roman"/>
          <w:b/>
          <w:color w:val="000000"/>
        </w:rPr>
        <w:t>Estado Final:</w:t>
      </w:r>
      <w:r>
        <w:rPr>
          <w:rFonts w:ascii="Times New Roman" w:hAnsi="Times New Roman"/>
          <w:color w:val="000000"/>
        </w:rPr>
        <w:t xml:space="preserve">       APROBADO Y CERTIFICADO PARA PRODUCCIÓN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proyectoHospital SQA Plan</w:t>
      <w:br/>
      <w:t>TM-SQA-01 v2.0</w:t>
      <w:br/>
      <w:t>25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