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EB32" w14:textId="03696D90" w:rsidR="0000592F" w:rsidRDefault="0000592F">
      <w:pPr>
        <w:rPr>
          <w:b/>
          <w:bCs/>
        </w:rPr>
      </w:pPr>
      <w:r>
        <w:rPr>
          <w:b/>
          <w:bCs/>
        </w:rPr>
        <w:t>LISTA DE REQUISITOS</w:t>
      </w:r>
    </w:p>
    <w:p>
      <w:pPr>
        <w:rPr>
          <w:b/>
          <w:bCs/>
        </w:rPr>
      </w:pPr>
      <w:r>
        <w:rPr>
          <w:b/>
          <w:bCs/>
          <w:b w:val="0"/>
          <w:bCs w:val="0"/>
          <w:i/>
          <w:iCs/>
        </w:rPr>
        <w:t xml:space="preserve">Versão 3 — atualizada em 14/10/2026 conforme a implementação do laboratório (agrostand-backend + Agromundo).</w:t>
      </w:r>
    </w:p>
    <w:p w14:paraId="63DD28F2" w14:textId="77777777" w:rsidR="0000592F" w:rsidRDefault="0000592F">
      <w:pPr>
        <w:rPr>
          <w:b/>
          <w:bCs/>
        </w:rPr>
      </w:pPr>
    </w:p>
    <w:p w14:paraId="2EFA9F16" w14:textId="067DA026" w:rsidR="0000592F" w:rsidRDefault="0000592F">
      <w:pPr>
        <w:rPr>
          <w:b/>
          <w:bCs/>
        </w:rPr>
      </w:pPr>
      <w:r>
        <w:rPr>
          <w:b/>
          <w:bCs/>
        </w:rPr>
        <w:t>REQUISITOS FUNCIONAIS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67"/>
        <w:gridCol w:w="2069"/>
        <w:gridCol w:w="7320"/>
      </w:tblGrid>
      <w:tr>
        <w:trPr>
          <w:tblHeader/>
        </w:trP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b/>
                <w:bCs/>
              </w:rPr>
            </w:pPr>
            <w:r>
              <w:rPr>
                <w:rFonts w:ascii="Arial" w:hAnsi="Arial" w:cs="Arial"/>
                <w:b/>
                <w:bCs/>
              </w:rPr>
              <w:t>Código</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b/>
                <w:bCs/>
              </w:rPr>
            </w:pPr>
            <w:r>
              <w:rPr>
                <w:rFonts w:ascii="Arial" w:hAnsi="Arial" w:cs="Arial"/>
                <w:b/>
                <w:bCs/>
              </w:rPr>
              <w:t>Nome</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b/>
                <w:bCs/>
              </w:rPr>
            </w:pPr>
            <w:r>
              <w:rPr>
                <w:rFonts w:ascii="Arial" w:hAnsi="Arial" w:cs="Arial"/>
                <w:b/>
                <w:bCs/>
              </w:rPr>
              <w:t>Descrição</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RF01</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Cadastrar-se</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um novo usuário se registre informando nome, sobrenome, e-mail (único, RN13), telefone, senha (RS07) e um endereço inicial urbano ou rural (RN18). Ao concluir, o usuário já fica autenticado.</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RF02</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Gerenciar dados pessoais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usuário altere nome, sobrenome, e-mail (único, RN13) e telefone, e altere a senha informando a senha atual, a nova senha e a confirmação.</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RF03</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Gerenciar endereços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usuário liste, adicione, edite ou remova seus endereços (rua/estrada, número, bairro/comunidade, CEP, cidade, UF, zona), com validação conforme RN18 e geocodificação automática.</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RF04</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Navegar por anúncios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Exibir a vitrine de anúncios ativos (imagem principal, nome, preço, oferta e avaliação) com paginação e filtro por categoria, incluindo a página de ofertas.</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RF05</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Pesquisar produtos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a busca de anúncios por termo (nome do produto ou categoria), com sugestões automáticas enquanto o usuário digita.</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RF06</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Visualizar anúncio</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Exibir os detalhes completos do anúncio: nome, descrição, preço, oferta, faixas de atacado, unidade, estoque, certificações, categoria, imagens com zoom, endereço, modos de entrega, dados e reputação do produtor, avaliações, perguntas e produtos recomendados.</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RF07</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Contatar vendedor</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Redirecionar o comprador para uma conversa no WhatsApp usando o telefone do anunciante (RS01), registrando o clique para as estatísticas do vendedor.</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RF08</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Anunciar produto</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um cliente (que se torna anunciante) publique um produto informando nome, descrição, preço, categoria, imagem principal, demais imagens, endereço (existente ou novo), unidade, estoque, peso, preço promocional, faixas de atacado, certificações e modos de entrega/retirada.</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RF09</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Gerenciar produtos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anunciante liste seus anúncios por status, edite dados, imagens e endereço, pause/reative, mova para a lixeira e restaure seus próprios anúncios.</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RF10</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Gerenciar favoritos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cliente autenticado favorite ou desfavorite anúncios ativos e visualize a lista “Meus Favoritos” (RN17).</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RF11</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Autenticar-se</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login com e-mail e senha, com bloqueio temporário após tentativas inválidas (RN19).</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RF12</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Encerrar sessão</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usuário autenticado encerre a sessão (logout), revogando o token JWT ativo.</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RF13</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Excluir conta</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usuário exclua definitivamente sua conta e seus dados, mediante confirmação, conforme RN20 e a LGPD (RS03).</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RF14</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Recuperar senha</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usuário redefina a senha por meio de um código de 6 dígitos enviado ao e-mail cadastrado (RN36).</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RF15</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Entrar com Google</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login e cadastro automático por meio de conta Google com e-mail verificado (RN35).</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RF16</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Filtrar e ordenar a vitrine</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filtrar anúncios por faixa de preço, UF, cidade, zona, ofertas, produtor e distância (“perto de mim”, por raio em km) e ordenar por mais recentes, menor preço, maior preço, mais bem avaliados ou mais próximos; exibir os produtos vistos recentemente.</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RF17</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Gerenciar carrinho</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adicionar, alterar a quantidade e remover produtos do carrinho (salvo no dispositivo), com preços conferidos no servidor.</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RF18</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Finalizar compra (checkout)</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fechar a compra escolhendo, por produtor, entrega ou retirada, endereço de entrega, cálculo de frete (RN26) e forma de pagamento simulada, gerando um pedido por produtor (RN25). Inclui a opção “Comprar agora” e a estimativa de frete por CEP na página do produto.</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RF19</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Acompanhar pedidos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comprador liste seus pedidos, veja detalhes, linha do tempo e código de rastreio, pague (simulação), confirme o recebimento e cancele quando permitido (RN27).</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RF20</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Gerenciar vendas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produtor liste os pedidos recebidos e avance o status (em preparação, enviado com rastreio, pronto para retirada, entregue) ou cancele quando permitido (RN27).</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RF21</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Avaliar produto</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comprador avalie produtos de pedidos entregues com nota, comentário e fotos, e que o produtor responda (RN28).</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RF22</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Perguntar e responder</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usuários façam perguntas públicas no anúncio e que o produtor as responda (RN29).</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RF23</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Conversar pelo chat</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conversa interna entre comprador e produtor a partir de um anúncio, com contador de mensagens não lidas (RN33).</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RF24</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Receber notificações</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Exibir notificações no site (sininho), permitir marcá-las como lidas e, opcionalmente, enviá-las por e-mail (RN38).</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RF25</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Visualizar perfil do produtor</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Exibir a página pública do produtor com foto, apresentação, vídeo, selo de verificação, reputação, avaliações e anúncios ativos; permitir ao produtor editar seu perfil público e foto.</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RF26</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Solicitar verificação de produtor</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produtor envie CPF/CNPJ e CAR para verificação e acompanhe o status (RN34).</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RF27</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Abrir reclamação e mediação</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comprador abra reclamação ou pedido de devolução, que o produtor responda e que as partes peçam mediação (RN30).</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RF28</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Solicitar cotação de atacado</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comprador peça cotação de grandes quantidades, que o produtor responda com preço e prazo e que o comprador aceite (gerando pedido), recuse ou cancele (RN31).</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RF29</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Cestas por assinatura</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o produtor crie e edite cestas e veja seus assinantes, e que o cliente assine, pause, reative ou cancele uma assinatura (RN32).</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RF30</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Visualizar estatísticas do vendedor</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Exibir ao produtor visualizações, cliques no WhatsApp e desempenho dos anúncios em um período de 1 a 365 dias.</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RF31</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Administrar a plataforma</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Permitir que administradores analisem verificações de produtor e decidam mediações de reclamações (RN39).</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RF32</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Mapa e calendário de safra</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Exibir o mapa de produtores/anúncios (OpenStreetMap) e um calendário de safra com a época de maior oferta de frutas, legumes, verduras e grãos.</w:t>
            </w:r>
          </w:p>
        </w:tc>
      </w:tr>
      <w:tr>
        <w:tc>
          <w:tcPr>
            <w:tcW w:w="0" w:type="auto"/>
            <w:shd w:val="clear" w:color="auto" w:fill="FFFFFF"/>
            <w:tcMar>
              <w:top w:w="150" w:type="dxa"/>
              <w:left w:w="0" w:type="dxa"/>
              <w:bottom w:w="150" w:type="dxa"/>
              <w:right w:w="240" w:type="dxa"/>
            </w:tcMar>
            <w:vAlign w:val="center"/>
            <w:hideMark/>
          </w:tcPr>
          <w:p>
            <w:pPr>
              <w:spacing w:after="0" w:line="240" w:lineRule="auto"/>
              <w:rPr>
                <w:rFonts w:ascii="Arial" w:hAnsi="Arial" w:cs="Arial"/>
              </w:rPr>
            </w:pPr>
            <w:r>
              <w:rPr>
                <w:rFonts w:ascii="Arial" w:hAnsi="Arial" w:cs="Arial"/>
              </w:rPr>
              <w:t xml:space="preserve">RF33</w:t>
            </w:r>
          </w:p>
        </w:tc>
        <w:tc>
          <w:tcPr>
            <w:tcW w:w="0" w:type="auto"/>
            <w:shd w:val="clear" w:color="auto" w:fill="FFFFFF"/>
            <w:tcMar>
              <w:top w:w="150" w:type="dxa"/>
              <w:left w:w="240" w:type="dxa"/>
              <w:bottom w:w="150" w:type="dxa"/>
              <w:right w:w="240" w:type="dxa"/>
            </w:tcMar>
            <w:vAlign w:val="center"/>
            <w:hideMark/>
          </w:tcPr>
          <w:p>
            <w:pPr>
              <w:spacing w:after="0" w:line="240" w:lineRule="auto"/>
              <w:rPr>
                <w:rFonts w:ascii="Arial" w:hAnsi="Arial" w:cs="Arial"/>
              </w:rPr>
            </w:pPr>
            <w:r>
              <w:rPr>
                <w:rFonts w:ascii="Arial" w:hAnsi="Arial" w:cs="Arial"/>
              </w:rPr>
              <w:t xml:space="preserve">Compartilhar anúncio e produtor</w:t>
            </w:r>
          </w:p>
        </w:tc>
        <w:tc>
          <w:tcPr>
            <w:tcW w:w="0" w:type="auto"/>
            <w:shd w:val="clear" w:color="auto" w:fill="FFFFFF"/>
            <w:tcMar>
              <w:top w:w="150" w:type="dxa"/>
              <w:left w:w="240" w:type="dxa"/>
              <w:bottom w:w="150" w:type="dxa"/>
              <w:right w:w="0" w:type="dxa"/>
            </w:tcMar>
            <w:vAlign w:val="center"/>
            <w:hideMark/>
          </w:tcPr>
          <w:p>
            <w:pPr>
              <w:spacing w:after="0" w:line="240" w:lineRule="auto"/>
              <w:rPr>
                <w:rFonts w:ascii="Arial" w:hAnsi="Arial" w:cs="Arial"/>
              </w:rPr>
            </w:pPr>
            <w:r>
              <w:rPr>
                <w:rFonts w:ascii="Arial" w:hAnsi="Arial" w:cs="Arial"/>
              </w:rPr>
              <w:t xml:space="preserve">Gerar links de compartilhamento com prévia (imagem, nome e preço) para WhatsApp e redes sociais.</w:t>
            </w:r>
          </w:p>
        </w:tc>
      </w:tr>
    </w:tbl>
    <w:p w14:paraId="658A9E7B" w14:textId="77777777" w:rsidR="0000592F" w:rsidRDefault="0000592F" w:rsidP="0000592F">
      <w:pPr>
        <w:spacing w:after="0"/>
      </w:pPr>
    </w:p>
    <w:p w14:paraId="76F0B836" w14:textId="5260CF37" w:rsidR="0000592F" w:rsidRPr="0000592F" w:rsidRDefault="0000592F" w:rsidP="0000592F">
      <w:pPr>
        <w:spacing w:after="0"/>
        <w:rPr>
          <w:b/>
          <w:bCs/>
        </w:rPr>
      </w:pPr>
      <w:r>
        <w:rPr>
          <w:b/>
          <w:bCs/>
        </w:rPr>
        <w:t>REQUISITOS NÃO FUNCIONAIS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10"/>
        <w:gridCol w:w="4070"/>
        <w:gridCol w:w="2007"/>
        <w:gridCol w:w="1554"/>
        <w:gridCol w:w="1815"/>
      </w:tblGrid>
      <w:tr>
        <w:trPr>
          <w:tblHeader/>
        </w:trPr>
        <w:tc>
          <w:tcPr>
            <w:tcW w:w="0" w:type="auto"/>
            <w:shd w:val="clear" w:color="auto" w:fill="FFFFFF"/>
            <w:tcMar>
              <w:top w:w="150" w:type="dxa"/>
              <w:left w:w="0" w:type="dxa"/>
              <w:bottom w:w="150" w:type="dxa"/>
              <w:right w:w="240" w:type="dxa"/>
            </w:tcMar>
            <w:vAlign w:val="center"/>
            <w:hideMark/>
          </w:tcPr>
          <w:p>
            <w:pPr>
              <w:spacing w:after="0"/>
              <w:rPr>
                <w:b/>
                <w:bCs/>
              </w:rPr>
            </w:pPr>
            <w:r>
              <w:rPr>
                <w:b/>
                <w:bCs/>
              </w:rPr>
              <w:t>Código</w:t>
            </w:r>
          </w:p>
        </w:tc>
        <w:tc>
          <w:tcPr>
            <w:tcW w:w="0" w:type="auto"/>
            <w:shd w:val="clear" w:color="auto" w:fill="FFFFFF"/>
            <w:tcMar>
              <w:top w:w="150" w:type="dxa"/>
              <w:left w:w="240" w:type="dxa"/>
              <w:bottom w:w="150" w:type="dxa"/>
              <w:right w:w="240" w:type="dxa"/>
            </w:tcMar>
            <w:vAlign w:val="center"/>
            <w:hideMark/>
          </w:tcPr>
          <w:p>
            <w:pPr>
              <w:spacing w:after="0"/>
              <w:rPr>
                <w:b/>
                <w:bCs/>
              </w:rPr>
            </w:pPr>
            <w:r>
              <w:rPr>
                <w:b/>
                <w:bCs/>
              </w:rPr>
              <w:t>Restrição</w:t>
            </w:r>
          </w:p>
        </w:tc>
        <w:tc>
          <w:tcPr>
            <w:tcW w:w="0" w:type="auto"/>
            <w:shd w:val="clear" w:color="auto" w:fill="FFFFFF"/>
            <w:tcMar>
              <w:top w:w="150" w:type="dxa"/>
              <w:left w:w="240" w:type="dxa"/>
              <w:bottom w:w="150" w:type="dxa"/>
              <w:right w:w="240" w:type="dxa"/>
            </w:tcMar>
            <w:vAlign w:val="center"/>
            <w:hideMark/>
          </w:tcPr>
          <w:p>
            <w:pPr>
              <w:spacing w:after="0"/>
              <w:rPr>
                <w:b/>
                <w:bCs/>
              </w:rPr>
            </w:pPr>
            <w:r>
              <w:rPr>
                <w:b/>
                <w:bCs/>
              </w:rPr>
              <w:t>Categoria</w:t>
            </w:r>
          </w:p>
        </w:tc>
        <w:tc>
          <w:tcPr>
            <w:tcW w:w="0" w:type="auto"/>
            <w:shd w:val="clear" w:color="auto" w:fill="FFFFFF"/>
            <w:tcMar>
              <w:top w:w="150" w:type="dxa"/>
              <w:left w:w="240" w:type="dxa"/>
              <w:bottom w:w="150" w:type="dxa"/>
              <w:right w:w="240" w:type="dxa"/>
            </w:tcMar>
            <w:vAlign w:val="center"/>
            <w:hideMark/>
          </w:tcPr>
          <w:p>
            <w:pPr>
              <w:spacing w:after="0"/>
              <w:rPr>
                <w:b/>
                <w:bCs/>
              </w:rPr>
            </w:pPr>
            <w:r>
              <w:rPr>
                <w:b/>
                <w:bCs/>
              </w:rPr>
              <w:t>Desejável</w:t>
            </w:r>
          </w:p>
        </w:tc>
        <w:tc>
          <w:tcPr>
            <w:tcW w:w="0" w:type="auto"/>
            <w:shd w:val="clear" w:color="auto" w:fill="FFFFFF"/>
            <w:tcMar>
              <w:top w:w="150" w:type="dxa"/>
              <w:left w:w="240" w:type="dxa"/>
              <w:bottom w:w="150" w:type="dxa"/>
              <w:right w:w="240" w:type="dxa"/>
            </w:tcMar>
            <w:vAlign w:val="center"/>
            <w:hideMark/>
          </w:tcPr>
          <w:p>
            <w:pPr>
              <w:spacing w:after="0"/>
              <w:rPr>
                <w:b/>
                <w:bCs/>
              </w:rPr>
            </w:pPr>
            <w:r>
              <w:rPr>
                <w:b/>
                <w:bCs/>
              </w:rPr>
              <w:t>Permanente</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RNF01</w:t>
            </w:r>
          </w:p>
        </w:tc>
        <w:tc>
          <w:tcPr>
            <w:tcW w:w="0" w:type="auto"/>
            <w:shd w:val="clear" w:color="auto" w:fill="FFFFFF"/>
            <w:tcMar>
              <w:top w:w="150" w:type="dxa"/>
              <w:left w:w="240" w:type="dxa"/>
              <w:bottom w:w="150" w:type="dxa"/>
              <w:right w:w="240" w:type="dxa"/>
            </w:tcMar>
            <w:vAlign w:val="center"/>
            <w:hideMark/>
          </w:tcPr>
          <w:p>
            <w:pPr>
              <w:spacing w:after="0"/>
            </w:pPr>
            <w:r>
              <w:rPr/>
              <w:t xml:space="preserve">O cadastro e o login devem ser concluídos em até 3 segundos.</w:t>
            </w:r>
          </w:p>
        </w:tc>
        <w:tc>
          <w:tcPr>
            <w:tcW w:w="0" w:type="auto"/>
            <w:shd w:val="clear" w:color="auto" w:fill="FFFFFF"/>
            <w:tcMar>
              <w:top w:w="150" w:type="dxa"/>
              <w:left w:w="240" w:type="dxa"/>
              <w:bottom w:w="150" w:type="dxa"/>
              <w:right w:w="240" w:type="dxa"/>
            </w:tcMar>
            <w:vAlign w:val="center"/>
            <w:hideMark/>
          </w:tcPr>
          <w:p>
            <w:pPr>
              <w:spacing w:after="0"/>
            </w:pPr>
            <w:r>
              <w:rPr/>
              <w:t xml:space="preserve">Desempenho</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RNF02</w:t>
            </w:r>
          </w:p>
        </w:tc>
        <w:tc>
          <w:tcPr>
            <w:tcW w:w="0" w:type="auto"/>
            <w:shd w:val="clear" w:color="auto" w:fill="FFFFFF"/>
            <w:tcMar>
              <w:top w:w="150" w:type="dxa"/>
              <w:left w:w="240" w:type="dxa"/>
              <w:bottom w:w="150" w:type="dxa"/>
              <w:right w:w="240" w:type="dxa"/>
            </w:tcMar>
            <w:vAlign w:val="center"/>
            <w:hideMark/>
          </w:tcPr>
          <w:p>
            <w:pPr>
              <w:spacing w:after="0"/>
            </w:pPr>
            <w:r>
              <w:rPr/>
              <w:t xml:space="preserve">A lista de anúncios (primeira página) deve carregar em até 2 segundos.</w:t>
            </w:r>
          </w:p>
        </w:tc>
        <w:tc>
          <w:tcPr>
            <w:tcW w:w="0" w:type="auto"/>
            <w:shd w:val="clear" w:color="auto" w:fill="FFFFFF"/>
            <w:tcMar>
              <w:top w:w="150" w:type="dxa"/>
              <w:left w:w="240" w:type="dxa"/>
              <w:bottom w:w="150" w:type="dxa"/>
              <w:right w:w="240" w:type="dxa"/>
            </w:tcMar>
            <w:vAlign w:val="center"/>
            <w:hideMark/>
          </w:tcPr>
          <w:p>
            <w:pPr>
              <w:spacing w:after="0"/>
            </w:pPr>
            <w:r>
              <w:rPr/>
              <w:t xml:space="preserve">Desempenho</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RNF03</w:t>
            </w:r>
          </w:p>
        </w:tc>
        <w:tc>
          <w:tcPr>
            <w:tcW w:w="0" w:type="auto"/>
            <w:shd w:val="clear" w:color="auto" w:fill="FFFFFF"/>
            <w:tcMar>
              <w:top w:w="150" w:type="dxa"/>
              <w:left w:w="240" w:type="dxa"/>
              <w:bottom w:w="150" w:type="dxa"/>
              <w:right w:w="240" w:type="dxa"/>
            </w:tcMar>
            <w:vAlign w:val="center"/>
            <w:hideMark/>
          </w:tcPr>
          <w:p>
            <w:pPr>
              <w:spacing w:after="0"/>
            </w:pPr>
            <w:r>
              <w:rPr/>
              <w:t xml:space="preserve">O upload das imagens (principal e demais) deve ser concluído em até 5 segundos por imagem; cada imagem é limitada a 10 MB nos formatos JPG, PNG ou WEBP.</w:t>
            </w:r>
          </w:p>
        </w:tc>
        <w:tc>
          <w:tcPr>
            <w:tcW w:w="0" w:type="auto"/>
            <w:shd w:val="clear" w:color="auto" w:fill="FFFFFF"/>
            <w:tcMar>
              <w:top w:w="150" w:type="dxa"/>
              <w:left w:w="240" w:type="dxa"/>
              <w:bottom w:w="150" w:type="dxa"/>
              <w:right w:w="240" w:type="dxa"/>
            </w:tcMar>
            <w:vAlign w:val="center"/>
            <w:hideMark/>
          </w:tcPr>
          <w:p>
            <w:pPr>
              <w:spacing w:after="0"/>
            </w:pPr>
            <w:r>
              <w:rPr/>
              <w:t xml:space="preserve">Desempenho</w:t>
            </w:r>
          </w:p>
        </w:tc>
        <w:tc>
          <w:tcPr>
            <w:tcW w:w="0" w:type="auto"/>
            <w:shd w:val="clear" w:color="auto" w:fill="FFFFFF"/>
            <w:tcMar>
              <w:top w:w="150" w:type="dxa"/>
              <w:left w:w="240" w:type="dxa"/>
              <w:bottom w:w="150" w:type="dxa"/>
              <w:right w:w="240" w:type="dxa"/>
            </w:tcMar>
            <w:vAlign w:val="center"/>
            <w:hideMark/>
          </w:tcPr>
          <w:p>
            <w:pPr>
              <w:spacing w:after="0"/>
            </w:pPr>
            <w:r>
              <w:rPr/>
              <w:t xml:space="preserve">X</w:t>
            </w:r>
          </w:p>
        </w:tc>
        <w:tc>
          <w:tcPr>
            <w:tcW w:w="0" w:type="auto"/>
            <w:shd w:val="clear" w:color="auto" w:fill="FFFFFF"/>
            <w:tcMar>
              <w:top w:w="150" w:type="dxa"/>
              <w:left w:w="240" w:type="dxa"/>
              <w:bottom w:w="150" w:type="dxa"/>
              <w:right w:w="0" w:type="dxa"/>
            </w:tcMar>
            <w:vAlign w:val="center"/>
            <w:hideMark/>
          </w:tcPr>
          <w:p>
            <w:pPr>
              <w:spacing w:after="0"/>
            </w:pPr>
          </w:p>
        </w:tc>
      </w:tr>
      <w:tr>
        <w:tc>
          <w:tcPr>
            <w:tcW w:w="0" w:type="auto"/>
            <w:shd w:val="clear" w:color="auto" w:fill="FFFFFF"/>
            <w:tcMar>
              <w:top w:w="150" w:type="dxa"/>
              <w:left w:w="0" w:type="dxa"/>
              <w:bottom w:w="150" w:type="dxa"/>
              <w:right w:w="240" w:type="dxa"/>
            </w:tcMar>
            <w:vAlign w:val="center"/>
            <w:hideMark/>
          </w:tcPr>
          <w:p>
            <w:pPr>
              <w:spacing w:after="0"/>
            </w:pPr>
            <w:r>
              <w:rPr/>
              <w:t xml:space="preserve">RNF04</w:t>
            </w:r>
          </w:p>
        </w:tc>
        <w:tc>
          <w:tcPr>
            <w:tcW w:w="0" w:type="auto"/>
            <w:shd w:val="clear" w:color="auto" w:fill="FFFFFF"/>
            <w:tcMar>
              <w:top w:w="150" w:type="dxa"/>
              <w:left w:w="240" w:type="dxa"/>
              <w:bottom w:w="150" w:type="dxa"/>
              <w:right w:w="240" w:type="dxa"/>
            </w:tcMar>
            <w:vAlign w:val="center"/>
            <w:hideMark/>
          </w:tcPr>
          <w:p>
            <w:pPr>
              <w:spacing w:after="0"/>
            </w:pPr>
            <w:r>
              <w:rPr/>
              <w:t xml:space="preserve">As senhas dos usuários devem ser armazenadas com hash bcrypt (implementado com bcryptjs, custo 10).</w:t>
            </w:r>
          </w:p>
        </w:tc>
        <w:tc>
          <w:tcPr>
            <w:tcW w:w="0" w:type="auto"/>
            <w:shd w:val="clear" w:color="auto" w:fill="FFFFFF"/>
            <w:tcMar>
              <w:top w:w="150" w:type="dxa"/>
              <w:left w:w="240" w:type="dxa"/>
              <w:bottom w:w="150" w:type="dxa"/>
              <w:right w:w="240" w:type="dxa"/>
            </w:tcMar>
            <w:vAlign w:val="center"/>
            <w:hideMark/>
          </w:tcPr>
          <w:p>
            <w:pPr>
              <w:spacing w:after="0"/>
            </w:pPr>
            <w:r>
              <w:rPr/>
              <w:t xml:space="preserve">Segurança</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RNF05</w:t>
            </w:r>
          </w:p>
        </w:tc>
        <w:tc>
          <w:tcPr>
            <w:tcW w:w="0" w:type="auto"/>
            <w:shd w:val="clear" w:color="auto" w:fill="FFFFFF"/>
            <w:tcMar>
              <w:top w:w="150" w:type="dxa"/>
              <w:left w:w="240" w:type="dxa"/>
              <w:bottom w:w="150" w:type="dxa"/>
              <w:right w:w="240" w:type="dxa"/>
            </w:tcMar>
            <w:vAlign w:val="center"/>
            <w:hideMark/>
          </w:tcPr>
          <w:p>
            <w:pPr>
              <w:spacing w:after="0"/>
            </w:pPr>
            <w:r>
              <w:rPr/>
              <w:t xml:space="preserve">A plataforma deve utilizar HTTPS em todas as comunicações em produção (no ambiente de testes local e no APK de teste é usado HTTP).</w:t>
            </w:r>
          </w:p>
        </w:tc>
        <w:tc>
          <w:tcPr>
            <w:tcW w:w="0" w:type="auto"/>
            <w:shd w:val="clear" w:color="auto" w:fill="FFFFFF"/>
            <w:tcMar>
              <w:top w:w="150" w:type="dxa"/>
              <w:left w:w="240" w:type="dxa"/>
              <w:bottom w:w="150" w:type="dxa"/>
              <w:right w:w="240" w:type="dxa"/>
            </w:tcMar>
            <w:vAlign w:val="center"/>
            <w:hideMark/>
          </w:tcPr>
          <w:p>
            <w:pPr>
              <w:spacing w:after="0"/>
            </w:pPr>
            <w:r>
              <w:rPr/>
              <w:t xml:space="preserve">Segurança</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RNF06</w:t>
            </w:r>
          </w:p>
        </w:tc>
        <w:tc>
          <w:tcPr>
            <w:tcW w:w="0" w:type="auto"/>
            <w:shd w:val="clear" w:color="auto" w:fill="FFFFFF"/>
            <w:tcMar>
              <w:top w:w="150" w:type="dxa"/>
              <w:left w:w="240" w:type="dxa"/>
              <w:bottom w:w="150" w:type="dxa"/>
              <w:right w:w="240" w:type="dxa"/>
            </w:tcMar>
            <w:vAlign w:val="center"/>
            <w:hideMark/>
          </w:tcPr>
          <w:p>
            <w:pPr>
              <w:spacing w:after="0"/>
            </w:pPr>
            <w:r>
              <w:rPr/>
              <w:t xml:space="preserve">Os dados pessoais (nome, e-mail, telefone, endereços, pedidos, conversas) devem ser acessíveis apenas ao próprio usuário, às contrapartes estritamente necessárias e ao sistema. Implementado com Row-Level Security no PostgreSQL: a API conecta com um papel sem privilégio de ignorar as políticas.</w:t>
            </w:r>
          </w:p>
        </w:tc>
        <w:tc>
          <w:tcPr>
            <w:tcW w:w="0" w:type="auto"/>
            <w:shd w:val="clear" w:color="auto" w:fill="FFFFFF"/>
            <w:tcMar>
              <w:top w:w="150" w:type="dxa"/>
              <w:left w:w="240" w:type="dxa"/>
              <w:bottom w:w="150" w:type="dxa"/>
              <w:right w:w="240" w:type="dxa"/>
            </w:tcMar>
            <w:vAlign w:val="center"/>
            <w:hideMark/>
          </w:tcPr>
          <w:p>
            <w:pPr>
              <w:spacing w:after="0"/>
            </w:pPr>
            <w:r>
              <w:rPr/>
              <w:t xml:space="preserve">Segurança</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RNF07</w:t>
            </w:r>
          </w:p>
        </w:tc>
        <w:tc>
          <w:tcPr>
            <w:tcW w:w="0" w:type="auto"/>
            <w:shd w:val="clear" w:color="auto" w:fill="FFFFFF"/>
            <w:tcMar>
              <w:top w:w="150" w:type="dxa"/>
              <w:left w:w="240" w:type="dxa"/>
              <w:bottom w:w="150" w:type="dxa"/>
              <w:right w:w="240" w:type="dxa"/>
            </w:tcMar>
            <w:vAlign w:val="center"/>
            <w:hideMark/>
          </w:tcPr>
          <w:p>
            <w:pPr>
              <w:spacing w:after="0"/>
            </w:pPr>
            <w:r>
              <w:rPr/>
              <w:t xml:space="preserve">A interface deve ser responsiva (dispositivos móveis e desktops), instalável como PWA e disponível como aplicativo Android (APK gerado com Capacitor).</w:t>
            </w:r>
          </w:p>
        </w:tc>
        <w:tc>
          <w:tcPr>
            <w:tcW w:w="0" w:type="auto"/>
            <w:shd w:val="clear" w:color="auto" w:fill="FFFFFF"/>
            <w:tcMar>
              <w:top w:w="150" w:type="dxa"/>
              <w:left w:w="240" w:type="dxa"/>
              <w:bottom w:w="150" w:type="dxa"/>
              <w:right w:w="240" w:type="dxa"/>
            </w:tcMar>
            <w:vAlign w:val="center"/>
            <w:hideMark/>
          </w:tcPr>
          <w:p>
            <w:pPr>
              <w:spacing w:after="0"/>
            </w:pPr>
            <w:r>
              <w:rPr/>
              <w:t xml:space="preserve">Usabilidade</w:t>
            </w:r>
          </w:p>
        </w:tc>
        <w:tc>
          <w:tcPr>
            <w:tcW w:w="0" w:type="auto"/>
            <w:shd w:val="clear" w:color="auto" w:fill="FFFFFF"/>
            <w:tcMar>
              <w:top w:w="150" w:type="dxa"/>
              <w:left w:w="240" w:type="dxa"/>
              <w:bottom w:w="150" w:type="dxa"/>
              <w:right w:w="240" w:type="dxa"/>
            </w:tcMar>
            <w:vAlign w:val="center"/>
            <w:hideMark/>
          </w:tcPr>
          <w:p>
            <w:pPr>
              <w:spacing w:after="0"/>
            </w:pPr>
            <w:r>
              <w:rPr/>
              <w:t xml:space="preserve">X</w:t>
            </w:r>
          </w:p>
        </w:tc>
        <w:tc>
          <w:tcPr>
            <w:tcW w:w="0" w:type="auto"/>
            <w:shd w:val="clear" w:color="auto" w:fill="FFFFFF"/>
            <w:tcMar>
              <w:top w:w="150" w:type="dxa"/>
              <w:left w:w="240" w:type="dxa"/>
              <w:bottom w:w="150" w:type="dxa"/>
              <w:right w:w="0" w:type="dxa"/>
            </w:tcMar>
            <w:vAlign w:val="center"/>
            <w:hideMark/>
          </w:tcPr>
          <w:p>
            <w:pPr>
              <w:spacing w:after="0"/>
            </w:pPr>
          </w:p>
        </w:tc>
      </w:tr>
      <w:tr>
        <w:tc>
          <w:tcPr>
            <w:tcW w:w="0" w:type="auto"/>
            <w:shd w:val="clear" w:color="auto" w:fill="FFFFFF"/>
            <w:tcMar>
              <w:top w:w="150" w:type="dxa"/>
              <w:left w:w="0" w:type="dxa"/>
              <w:bottom w:w="150" w:type="dxa"/>
              <w:right w:w="240" w:type="dxa"/>
            </w:tcMar>
            <w:vAlign w:val="center"/>
            <w:hideMark/>
          </w:tcPr>
          <w:p>
            <w:pPr>
              <w:spacing w:after="0"/>
            </w:pPr>
            <w:r>
              <w:rPr/>
              <w:t xml:space="preserve">RNF08</w:t>
            </w:r>
          </w:p>
        </w:tc>
        <w:tc>
          <w:tcPr>
            <w:tcW w:w="0" w:type="auto"/>
            <w:shd w:val="clear" w:color="auto" w:fill="FFFFFF"/>
            <w:tcMar>
              <w:top w:w="150" w:type="dxa"/>
              <w:left w:w="240" w:type="dxa"/>
              <w:bottom w:w="150" w:type="dxa"/>
              <w:right w:w="240" w:type="dxa"/>
            </w:tcMar>
            <w:vAlign w:val="center"/>
            <w:hideMark/>
          </w:tcPr>
          <w:p>
            <w:pPr>
              <w:spacing w:after="0"/>
            </w:pPr>
            <w:r>
              <w:rPr/>
              <w:t xml:space="preserve">O sistema deve estar disponível 24 horas por dia, 7 dias por semana, com taxa de uptime mínima de 99,5%.</w:t>
            </w:r>
          </w:p>
        </w:tc>
        <w:tc>
          <w:tcPr>
            <w:tcW w:w="0" w:type="auto"/>
            <w:shd w:val="clear" w:color="auto" w:fill="FFFFFF"/>
            <w:tcMar>
              <w:top w:w="150" w:type="dxa"/>
              <w:left w:w="240" w:type="dxa"/>
              <w:bottom w:w="150" w:type="dxa"/>
              <w:right w:w="240" w:type="dxa"/>
            </w:tcMar>
            <w:vAlign w:val="center"/>
            <w:hideMark/>
          </w:tcPr>
          <w:p>
            <w:pPr>
              <w:spacing w:after="0"/>
            </w:pPr>
            <w:r>
              <w:rPr/>
              <w:t xml:space="preserve">Confiabilidade</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RNF09</w:t>
            </w:r>
          </w:p>
        </w:tc>
        <w:tc>
          <w:tcPr>
            <w:tcW w:w="0" w:type="auto"/>
            <w:shd w:val="clear" w:color="auto" w:fill="FFFFFF"/>
            <w:tcMar>
              <w:top w:w="150" w:type="dxa"/>
              <w:left w:w="240" w:type="dxa"/>
              <w:bottom w:w="150" w:type="dxa"/>
              <w:right w:w="240" w:type="dxa"/>
            </w:tcMar>
            <w:vAlign w:val="center"/>
            <w:hideMark/>
          </w:tcPr>
          <w:p>
            <w:pPr>
              <w:spacing w:after="0"/>
            </w:pPr>
            <w:r>
              <w:rPr/>
              <w:t xml:space="preserve">O sistema deve suportar pelo menos 1.000 usuários simultâneos sem degradação significativa.</w:t>
            </w:r>
          </w:p>
        </w:tc>
        <w:tc>
          <w:tcPr>
            <w:tcW w:w="0" w:type="auto"/>
            <w:shd w:val="clear" w:color="auto" w:fill="FFFFFF"/>
            <w:tcMar>
              <w:top w:w="150" w:type="dxa"/>
              <w:left w:w="240" w:type="dxa"/>
              <w:bottom w:w="150" w:type="dxa"/>
              <w:right w:w="240" w:type="dxa"/>
            </w:tcMar>
            <w:vAlign w:val="center"/>
            <w:hideMark/>
          </w:tcPr>
          <w:p>
            <w:pPr>
              <w:spacing w:after="0"/>
            </w:pPr>
            <w:r>
              <w:rPr/>
              <w:t xml:space="preserve">Escalabilidade</w:t>
            </w:r>
          </w:p>
        </w:tc>
        <w:tc>
          <w:tcPr>
            <w:tcW w:w="0" w:type="auto"/>
            <w:shd w:val="clear" w:color="auto" w:fill="FFFFFF"/>
            <w:tcMar>
              <w:top w:w="150" w:type="dxa"/>
              <w:left w:w="240" w:type="dxa"/>
              <w:bottom w:w="150" w:type="dxa"/>
              <w:right w:w="240" w:type="dxa"/>
            </w:tcMar>
            <w:vAlign w:val="center"/>
            <w:hideMark/>
          </w:tcPr>
          <w:p>
            <w:pPr>
              <w:spacing w:after="0"/>
            </w:pPr>
            <w:r>
              <w:rPr/>
              <w:t xml:space="preserve">X</w:t>
            </w:r>
          </w:p>
        </w:tc>
        <w:tc>
          <w:tcPr>
            <w:tcW w:w="0" w:type="auto"/>
            <w:shd w:val="clear" w:color="auto" w:fill="FFFFFF"/>
            <w:tcMar>
              <w:top w:w="150" w:type="dxa"/>
              <w:left w:w="240" w:type="dxa"/>
              <w:bottom w:w="150" w:type="dxa"/>
              <w:right w:w="0" w:type="dxa"/>
            </w:tcMar>
            <w:vAlign w:val="center"/>
            <w:hideMark/>
          </w:tcPr>
          <w:p>
            <w:pPr>
              <w:spacing w:after="0"/>
            </w:pPr>
          </w:p>
        </w:tc>
      </w:tr>
      <w:tr>
        <w:tc>
          <w:tcPr>
            <w:tcW w:w="0" w:type="auto"/>
            <w:shd w:val="clear" w:color="auto" w:fill="FFFFFF"/>
            <w:tcMar>
              <w:top w:w="150" w:type="dxa"/>
              <w:left w:w="0" w:type="dxa"/>
              <w:bottom w:w="150" w:type="dxa"/>
              <w:right w:w="240" w:type="dxa"/>
            </w:tcMar>
            <w:vAlign w:val="center"/>
            <w:hideMark/>
          </w:tcPr>
          <w:p>
            <w:pPr>
              <w:spacing w:after="0"/>
            </w:pPr>
            <w:r>
              <w:rPr/>
              <w:t xml:space="preserve">RNF10</w:t>
            </w:r>
          </w:p>
        </w:tc>
        <w:tc>
          <w:tcPr>
            <w:tcW w:w="0" w:type="auto"/>
            <w:shd w:val="clear" w:color="auto" w:fill="FFFFFF"/>
            <w:tcMar>
              <w:top w:w="150" w:type="dxa"/>
              <w:left w:w="240" w:type="dxa"/>
              <w:bottom w:w="150" w:type="dxa"/>
              <w:right w:w="240" w:type="dxa"/>
            </w:tcMar>
            <w:vAlign w:val="center"/>
            <w:hideMark/>
          </w:tcPr>
          <w:p>
            <w:pPr>
              <w:spacing w:after="0"/>
            </w:pPr>
            <w:r>
              <w:rPr/>
              <w:t xml:space="preserve">A navegação e a pesquisa devem ser intuitivas, com menus claros e feedback visual para ações (ex: “anúncio publicado com sucesso”).</w:t>
            </w:r>
          </w:p>
        </w:tc>
        <w:tc>
          <w:tcPr>
            <w:tcW w:w="0" w:type="auto"/>
            <w:shd w:val="clear" w:color="auto" w:fill="FFFFFF"/>
            <w:tcMar>
              <w:top w:w="150" w:type="dxa"/>
              <w:left w:w="240" w:type="dxa"/>
              <w:bottom w:w="150" w:type="dxa"/>
              <w:right w:w="240" w:type="dxa"/>
            </w:tcMar>
            <w:vAlign w:val="center"/>
            <w:hideMark/>
          </w:tcPr>
          <w:p>
            <w:pPr>
              <w:spacing w:after="0"/>
            </w:pPr>
            <w:r>
              <w:rPr/>
              <w:t xml:space="preserve">Usabilidade</w:t>
            </w:r>
          </w:p>
        </w:tc>
        <w:tc>
          <w:tcPr>
            <w:tcW w:w="0" w:type="auto"/>
            <w:shd w:val="clear" w:color="auto" w:fill="FFFFFF"/>
            <w:tcMar>
              <w:top w:w="150" w:type="dxa"/>
              <w:left w:w="240" w:type="dxa"/>
              <w:bottom w:w="150" w:type="dxa"/>
              <w:right w:w="240" w:type="dxa"/>
            </w:tcMar>
            <w:vAlign w:val="center"/>
            <w:hideMark/>
          </w:tcPr>
          <w:p>
            <w:pPr>
              <w:spacing w:after="0"/>
            </w:pPr>
            <w:r>
              <w:rPr/>
              <w:t xml:space="preserve">X</w:t>
            </w:r>
          </w:p>
        </w:tc>
        <w:tc>
          <w:tcPr>
            <w:tcW w:w="0" w:type="auto"/>
            <w:shd w:val="clear" w:color="auto" w:fill="FFFFFF"/>
            <w:tcMar>
              <w:top w:w="150" w:type="dxa"/>
              <w:left w:w="240" w:type="dxa"/>
              <w:bottom w:w="150" w:type="dxa"/>
              <w:right w:w="0" w:type="dxa"/>
            </w:tcMar>
            <w:vAlign w:val="center"/>
            <w:hideMark/>
          </w:tcPr>
          <w:p>
            <w:pPr>
              <w:spacing w:after="0"/>
            </w:pPr>
          </w:p>
        </w:tc>
      </w:tr>
      <w:tr>
        <w:tc>
          <w:tcPr>
            <w:tcW w:w="0" w:type="auto"/>
            <w:shd w:val="clear" w:color="auto" w:fill="FFFFFF"/>
            <w:tcMar>
              <w:top w:w="150" w:type="dxa"/>
              <w:left w:w="0" w:type="dxa"/>
              <w:bottom w:w="150" w:type="dxa"/>
              <w:right w:w="240" w:type="dxa"/>
            </w:tcMar>
            <w:vAlign w:val="center"/>
            <w:hideMark/>
          </w:tcPr>
          <w:p>
            <w:pPr>
              <w:spacing w:after="0"/>
            </w:pPr>
            <w:r>
              <w:rPr/>
              <w:t xml:space="preserve">RNF11</w:t>
            </w:r>
          </w:p>
        </w:tc>
        <w:tc>
          <w:tcPr>
            <w:tcW w:w="0" w:type="auto"/>
            <w:shd w:val="clear" w:color="auto" w:fill="FFFFFF"/>
            <w:tcMar>
              <w:top w:w="150" w:type="dxa"/>
              <w:left w:w="240" w:type="dxa"/>
              <w:bottom w:w="150" w:type="dxa"/>
              <w:right w:w="240" w:type="dxa"/>
            </w:tcMar>
            <w:vAlign w:val="center"/>
            <w:hideMark/>
          </w:tcPr>
          <w:p>
            <w:pPr>
              <w:spacing w:after="0"/>
            </w:pPr>
            <w:r>
              <w:rPr/>
              <w:t xml:space="preserve">O sistema deve manter um log de auditoria das ações críticas (cadastro, alteração de dados e senha, exclusão de conta, publicação, edição e remoção de anúncios).</w:t>
            </w:r>
          </w:p>
        </w:tc>
        <w:tc>
          <w:tcPr>
            <w:tcW w:w="0" w:type="auto"/>
            <w:shd w:val="clear" w:color="auto" w:fill="FFFFFF"/>
            <w:tcMar>
              <w:top w:w="150" w:type="dxa"/>
              <w:left w:w="240" w:type="dxa"/>
              <w:bottom w:w="150" w:type="dxa"/>
              <w:right w:w="240" w:type="dxa"/>
            </w:tcMar>
            <w:vAlign w:val="center"/>
            <w:hideMark/>
          </w:tcPr>
          <w:p>
            <w:pPr>
              <w:spacing w:after="0"/>
            </w:pPr>
            <w:r>
              <w:rPr/>
              <w:t xml:space="preserve">Auditoria</w:t>
            </w:r>
          </w:p>
        </w:tc>
        <w:tc>
          <w:tcPr>
            <w:tcW w:w="0" w:type="auto"/>
            <w:shd w:val="clear" w:color="auto" w:fill="FFFFFF"/>
            <w:tcMar>
              <w:top w:w="150" w:type="dxa"/>
              <w:left w:w="240" w:type="dxa"/>
              <w:bottom w:w="150" w:type="dxa"/>
              <w:right w:w="240" w:type="dxa"/>
            </w:tcMar>
            <w:vAlign w:val="center"/>
            <w:hideMark/>
          </w:tcPr>
          <w:p>
            <w:pPr>
              <w:spacing w:after="0"/>
            </w:pPr>
            <w:r>
              <w:rPr/>
              <w:t xml:space="preserve">X</w:t>
            </w:r>
          </w:p>
        </w:tc>
        <w:tc>
          <w:tcPr>
            <w:tcW w:w="0" w:type="auto"/>
            <w:shd w:val="clear" w:color="auto" w:fill="FFFFFF"/>
            <w:tcMar>
              <w:top w:w="150" w:type="dxa"/>
              <w:left w:w="240" w:type="dxa"/>
              <w:bottom w:w="150" w:type="dxa"/>
              <w:right w:w="0" w:type="dxa"/>
            </w:tcMar>
            <w:vAlign w:val="center"/>
            <w:hideMark/>
          </w:tcPr>
          <w:p>
            <w:pPr>
              <w:spacing w:after="0"/>
            </w:pPr>
          </w:p>
        </w:tc>
      </w:tr>
      <w:tr>
        <w:tc>
          <w:tcPr>
            <w:tcW w:w="0" w:type="auto"/>
            <w:shd w:val="clear" w:color="auto" w:fill="FFFFFF"/>
            <w:tcMar>
              <w:top w:w="150" w:type="dxa"/>
              <w:left w:w="0" w:type="dxa"/>
              <w:bottom w:w="150" w:type="dxa"/>
              <w:right w:w="240" w:type="dxa"/>
            </w:tcMar>
            <w:vAlign w:val="center"/>
            <w:hideMark/>
          </w:tcPr>
          <w:p>
            <w:pPr>
              <w:spacing w:after="0"/>
            </w:pPr>
            <w:r>
              <w:rPr/>
              <w:t xml:space="preserve">RNF12</w:t>
            </w:r>
          </w:p>
        </w:tc>
        <w:tc>
          <w:tcPr>
            <w:tcW w:w="0" w:type="auto"/>
            <w:shd w:val="clear" w:color="auto" w:fill="FFFFFF"/>
            <w:tcMar>
              <w:top w:w="150" w:type="dxa"/>
              <w:left w:w="240" w:type="dxa"/>
              <w:bottom w:w="150" w:type="dxa"/>
              <w:right w:w="240" w:type="dxa"/>
            </w:tcMar>
            <w:vAlign w:val="center"/>
            <w:hideMark/>
          </w:tcPr>
          <w:p>
            <w:pPr>
              <w:spacing w:after="0"/>
            </w:pPr>
            <w:r>
              <w:rPr/>
              <w:t xml:space="preserve">A plataforma deve tratar erros de forma amigável, exibindo mensagens claras em português, com códigos HTTP adequados (400, 401, 403, 404, 429).</w:t>
            </w:r>
          </w:p>
        </w:tc>
        <w:tc>
          <w:tcPr>
            <w:tcW w:w="0" w:type="auto"/>
            <w:shd w:val="clear" w:color="auto" w:fill="FFFFFF"/>
            <w:tcMar>
              <w:top w:w="150" w:type="dxa"/>
              <w:left w:w="240" w:type="dxa"/>
              <w:bottom w:w="150" w:type="dxa"/>
              <w:right w:w="240" w:type="dxa"/>
            </w:tcMar>
            <w:vAlign w:val="center"/>
            <w:hideMark/>
          </w:tcPr>
          <w:p>
            <w:pPr>
              <w:spacing w:after="0"/>
            </w:pPr>
            <w:r>
              <w:rPr/>
              <w:t xml:space="preserve">Usabilidade</w:t>
            </w:r>
          </w:p>
        </w:tc>
        <w:tc>
          <w:tcPr>
            <w:tcW w:w="0" w:type="auto"/>
            <w:shd w:val="clear" w:color="auto" w:fill="FFFFFF"/>
            <w:tcMar>
              <w:top w:w="150" w:type="dxa"/>
              <w:left w:w="240" w:type="dxa"/>
              <w:bottom w:w="150" w:type="dxa"/>
              <w:right w:w="240" w:type="dxa"/>
            </w:tcMar>
            <w:vAlign w:val="center"/>
            <w:hideMark/>
          </w:tcPr>
          <w:p>
            <w:pPr>
              <w:spacing w:after="0"/>
            </w:pPr>
            <w:r>
              <w:rPr/>
              <w:t xml:space="preserve">X</w:t>
            </w:r>
          </w:p>
        </w:tc>
        <w:tc>
          <w:tcPr>
            <w:tcW w:w="0" w:type="auto"/>
            <w:shd w:val="clear" w:color="auto" w:fill="FFFFFF"/>
            <w:tcMar>
              <w:top w:w="150" w:type="dxa"/>
              <w:left w:w="240" w:type="dxa"/>
              <w:bottom w:w="150" w:type="dxa"/>
              <w:right w:w="0" w:type="dxa"/>
            </w:tcMar>
            <w:vAlign w:val="center"/>
            <w:hideMark/>
          </w:tcPr>
          <w:p>
            <w:pPr>
              <w:spacing w:after="0"/>
            </w:pPr>
          </w:p>
        </w:tc>
      </w:tr>
      <w:tr>
        <w:tc>
          <w:tcPr>
            <w:tcW w:w="0" w:type="auto"/>
            <w:shd w:val="clear" w:color="auto" w:fill="FFFFFF"/>
            <w:tcMar>
              <w:top w:w="150" w:type="dxa"/>
              <w:left w:w="0" w:type="dxa"/>
              <w:bottom w:w="150" w:type="dxa"/>
              <w:right w:w="240" w:type="dxa"/>
            </w:tcMar>
            <w:vAlign w:val="center"/>
            <w:hideMark/>
          </w:tcPr>
          <w:p>
            <w:pPr>
              <w:spacing w:after="0"/>
            </w:pPr>
            <w:r>
              <w:rPr/>
              <w:t xml:space="preserve">RNF13</w:t>
            </w:r>
          </w:p>
        </w:tc>
        <w:tc>
          <w:tcPr>
            <w:tcW w:w="0" w:type="auto"/>
            <w:shd w:val="clear" w:color="auto" w:fill="FFFFFF"/>
            <w:tcMar>
              <w:top w:w="150" w:type="dxa"/>
              <w:left w:w="240" w:type="dxa"/>
              <w:bottom w:w="150" w:type="dxa"/>
              <w:right w:w="240" w:type="dxa"/>
            </w:tcMar>
            <w:vAlign w:val="center"/>
            <w:hideMark/>
          </w:tcPr>
          <w:p>
            <w:pPr>
              <w:spacing w:after="0"/>
            </w:pPr>
            <w:r>
              <w:rPr/>
              <w:t xml:space="preserve">O backend deve possuir testes automatizados (unitários e de integração com banco PostgreSQL temporário) cobrindo os casos de uso; a versão atual possui 135 testes.</w:t>
            </w:r>
          </w:p>
        </w:tc>
        <w:tc>
          <w:tcPr>
            <w:tcW w:w="0" w:type="auto"/>
            <w:shd w:val="clear" w:color="auto" w:fill="FFFFFF"/>
            <w:tcMar>
              <w:top w:w="150" w:type="dxa"/>
              <w:left w:w="240" w:type="dxa"/>
              <w:bottom w:w="150" w:type="dxa"/>
              <w:right w:w="240" w:type="dxa"/>
            </w:tcMar>
            <w:vAlign w:val="center"/>
            <w:hideMark/>
          </w:tcPr>
          <w:p>
            <w:pPr>
              <w:spacing w:after="0"/>
            </w:pPr>
            <w:r>
              <w:rPr/>
              <w:t xml:space="preserve">Manutenibilidade</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RNF14</w:t>
            </w:r>
          </w:p>
        </w:tc>
        <w:tc>
          <w:tcPr>
            <w:tcW w:w="0" w:type="auto"/>
            <w:shd w:val="clear" w:color="auto" w:fill="FFFFFF"/>
            <w:tcMar>
              <w:top w:w="150" w:type="dxa"/>
              <w:left w:w="240" w:type="dxa"/>
              <w:bottom w:w="150" w:type="dxa"/>
              <w:right w:w="240" w:type="dxa"/>
            </w:tcMar>
            <w:vAlign w:val="center"/>
            <w:hideMark/>
          </w:tcPr>
          <w:p>
            <w:pPr>
              <w:spacing w:after="0"/>
            </w:pPr>
            <w:r>
              <w:rPr/>
              <w:t xml:space="preserve">Operações que alteram várias tabelas (cadastro, publicação de anúncio, checkout, baixa de estoque) devem ser transacionais (tudo ou nada).</w:t>
            </w:r>
          </w:p>
        </w:tc>
        <w:tc>
          <w:tcPr>
            <w:tcW w:w="0" w:type="auto"/>
            <w:shd w:val="clear" w:color="auto" w:fill="FFFFFF"/>
            <w:tcMar>
              <w:top w:w="150" w:type="dxa"/>
              <w:left w:w="240" w:type="dxa"/>
              <w:bottom w:w="150" w:type="dxa"/>
              <w:right w:w="240" w:type="dxa"/>
            </w:tcMar>
            <w:vAlign w:val="center"/>
            <w:hideMark/>
          </w:tcPr>
          <w:p>
            <w:pPr>
              <w:spacing w:after="0"/>
            </w:pPr>
            <w:r>
              <w:rPr/>
              <w:t xml:space="preserve">Confiabilidade</w:t>
            </w:r>
          </w:p>
        </w:tc>
        <w:tc>
          <w:tcPr>
            <w:tcW w:w="0" w:type="auto"/>
            <w:shd w:val="clear" w:color="auto" w:fill="FFFFFF"/>
            <w:tcMar>
              <w:top w:w="150" w:type="dxa"/>
              <w:left w:w="240" w:type="dxa"/>
              <w:bottom w:w="150" w:type="dxa"/>
              <w:right w:w="240" w:type="dxa"/>
            </w:tcMar>
            <w:vAlign w:val="center"/>
            <w:hideMark/>
          </w:tcPr>
          <w:p>
            <w:pPr>
              <w:spacing w:after="0"/>
            </w:pPr>
          </w:p>
        </w:tc>
        <w:tc>
          <w:tcPr>
            <w:tcW w:w="0" w:type="auto"/>
            <w:shd w:val="clear" w:color="auto" w:fill="FFFFFF"/>
            <w:tcMar>
              <w:top w:w="150" w:type="dxa"/>
              <w:left w:w="240" w:type="dxa"/>
              <w:bottom w:w="150" w:type="dxa"/>
              <w:right w:w="0" w:type="dxa"/>
            </w:tcMar>
            <w:vAlign w:val="center"/>
            <w:hideMark/>
          </w:tcPr>
          <w:p>
            <w:pPr>
              <w:spacing w:after="0"/>
            </w:pPr>
            <w:r>
              <w:rPr/>
              <w:t xml:space="preserve">X</w:t>
            </w:r>
          </w:p>
        </w:tc>
      </w:tr>
      <w:tr>
        <w:tc>
          <w:tcPr>
            <w:tcW w:w="0" w:type="auto"/>
            <w:shd w:val="clear" w:color="auto" w:fill="FFFFFF"/>
            <w:tcMar>
              <w:top w:w="150" w:type="dxa"/>
              <w:left w:w="0" w:type="dxa"/>
              <w:bottom w:w="150" w:type="dxa"/>
              <w:right w:w="240" w:type="dxa"/>
            </w:tcMar>
            <w:vAlign w:val="center"/>
            <w:hideMark/>
          </w:tcPr>
          <w:p>
            <w:pPr>
              <w:spacing w:after="0"/>
            </w:pPr>
            <w:r>
              <w:rPr/>
              <w:t xml:space="preserve">RNF15</w:t>
            </w:r>
          </w:p>
        </w:tc>
        <w:tc>
          <w:tcPr>
            <w:tcW w:w="0" w:type="auto"/>
            <w:shd w:val="clear" w:color="auto" w:fill="FFFFFF"/>
            <w:tcMar>
              <w:top w:w="150" w:type="dxa"/>
              <w:left w:w="240" w:type="dxa"/>
              <w:bottom w:w="150" w:type="dxa"/>
              <w:right w:w="240" w:type="dxa"/>
            </w:tcMar>
            <w:vAlign w:val="center"/>
            <w:hideMark/>
          </w:tcPr>
          <w:p>
            <w:pPr>
              <w:spacing w:after="0"/>
            </w:pPr>
            <w:r>
              <w:rPr/>
              <w:t xml:space="preserve">O servidor deve encerrar de forma graciosa (SIGINT/SIGTERM), fechando conexões sem corromper transações, e registrar exceções não tratadas.</w:t>
            </w:r>
          </w:p>
        </w:tc>
        <w:tc>
          <w:tcPr>
            <w:tcW w:w="0" w:type="auto"/>
            <w:shd w:val="clear" w:color="auto" w:fill="FFFFFF"/>
            <w:tcMar>
              <w:top w:w="150" w:type="dxa"/>
              <w:left w:w="240" w:type="dxa"/>
              <w:bottom w:w="150" w:type="dxa"/>
              <w:right w:w="240" w:type="dxa"/>
            </w:tcMar>
            <w:vAlign w:val="center"/>
            <w:hideMark/>
          </w:tcPr>
          <w:p>
            <w:pPr>
              <w:spacing w:after="0"/>
            </w:pPr>
            <w:r>
              <w:rPr/>
              <w:t xml:space="preserve">Confiabilidade</w:t>
            </w:r>
          </w:p>
        </w:tc>
        <w:tc>
          <w:tcPr>
            <w:tcW w:w="0" w:type="auto"/>
            <w:shd w:val="clear" w:color="auto" w:fill="FFFFFF"/>
            <w:tcMar>
              <w:top w:w="150" w:type="dxa"/>
              <w:left w:w="240" w:type="dxa"/>
              <w:bottom w:w="150" w:type="dxa"/>
              <w:right w:w="240" w:type="dxa"/>
            </w:tcMar>
            <w:vAlign w:val="center"/>
            <w:hideMark/>
          </w:tcPr>
          <w:p>
            <w:pPr>
              <w:spacing w:after="0"/>
            </w:pPr>
            <w:r>
              <w:rPr/>
              <w:t xml:space="preserve">X</w:t>
            </w:r>
          </w:p>
        </w:tc>
        <w:tc>
          <w:tcPr>
            <w:tcW w:w="0" w:type="auto"/>
            <w:shd w:val="clear" w:color="auto" w:fill="FFFFFF"/>
            <w:tcMar>
              <w:top w:w="150" w:type="dxa"/>
              <w:left w:w="240" w:type="dxa"/>
              <w:bottom w:w="150" w:type="dxa"/>
              <w:right w:w="0" w:type="dxa"/>
            </w:tcMar>
            <w:vAlign w:val="center"/>
            <w:hideMark/>
          </w:tcPr>
          <w:p>
            <w:pPr>
              <w:spacing w:after="0"/>
            </w:pPr>
          </w:p>
        </w:tc>
      </w:tr>
    </w:tbl>
    <w:p w14:paraId="74111845" w14:textId="77777777" w:rsidR="0000592F" w:rsidRDefault="0000592F" w:rsidP="0000592F">
      <w:pPr>
        <w:spacing w:after="0"/>
      </w:pPr>
    </w:p>
    <w:p w14:paraId="291EE505" w14:textId="77777777" w:rsidR="0000592F" w:rsidRDefault="0000592F" w:rsidP="0000592F">
      <w:pPr>
        <w:spacing w:after="0"/>
      </w:pPr>
    </w:p>
    <w:p w14:paraId="674A7EC3" w14:textId="77D2703A" w:rsidR="0000592F" w:rsidRDefault="0000592F" w:rsidP="0000592F">
      <w:pPr>
        <w:spacing w:after="0"/>
      </w:pPr>
      <w:r>
        <w:t>REQUISITOS SUPLEMENTARES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43"/>
        <w:gridCol w:w="203"/>
        <w:gridCol w:w="7369"/>
        <w:gridCol w:w="1941"/>
      </w:tblGrid>
      <w:tr>
        <w:trPr>
          <w:tblHeader/>
        </w:trPr>
        <w:tc>
          <w:tcPr>
            <w:tcW w:w="1129" w:type="dxa"/>
            <w:gridSpan w:val="2"/>
            <w:shd w:val="clear" w:color="auto" w:fill="FFFFFF"/>
            <w:tcMar>
              <w:top w:w="150" w:type="dxa"/>
              <w:left w:w="0" w:type="dxa"/>
              <w:bottom w:w="150" w:type="dxa"/>
              <w:right w:w="240" w:type="dxa"/>
            </w:tcMar>
            <w:vAlign w:val="center"/>
            <w:hideMark/>
          </w:tcPr>
          <w:p>
            <w:pPr>
              <w:spacing w:after="0"/>
              <w:rPr>
                <w:b/>
                <w:bCs/>
              </w:rPr>
            </w:pPr>
            <w:r>
              <w:rPr>
                <w:b/>
                <w:bCs/>
              </w:rPr>
              <w:t>Código</w:t>
            </w:r>
          </w:p>
        </w:tc>
        <w:tc>
          <w:tcPr>
            <w:tcW w:w="7387" w:type="dxa"/>
            <w:shd w:val="clear" w:color="auto" w:fill="FFFFFF"/>
            <w:tcMar>
              <w:top w:w="150" w:type="dxa"/>
              <w:left w:w="240" w:type="dxa"/>
              <w:bottom w:w="150" w:type="dxa"/>
              <w:right w:w="240" w:type="dxa"/>
            </w:tcMar>
            <w:vAlign w:val="center"/>
            <w:hideMark/>
          </w:tcPr>
          <w:p>
            <w:pPr>
              <w:spacing w:after="0"/>
              <w:rPr>
                <w:b/>
                <w:bCs/>
              </w:rPr>
            </w:pPr>
            <w:r>
              <w:rPr>
                <w:b/>
                <w:bCs/>
              </w:rPr>
              <w:t>Restrição</w:t>
            </w:r>
          </w:p>
        </w:tc>
        <w:tc>
          <w:tcPr>
            <w:tcW w:w="1940" w:type="dxa"/>
            <w:shd w:val="clear" w:color="auto" w:fill="FFFFFF"/>
            <w:tcMar>
              <w:top w:w="150" w:type="dxa"/>
              <w:left w:w="240" w:type="dxa"/>
              <w:bottom w:w="150" w:type="dxa"/>
              <w:right w:w="240" w:type="dxa"/>
            </w:tcMar>
            <w:vAlign w:val="center"/>
            <w:hideMark/>
          </w:tcPr>
          <w:p>
            <w:pPr>
              <w:spacing w:after="0"/>
              <w:rPr>
                <w:b/>
                <w:bCs/>
              </w:rPr>
            </w:pPr>
            <w:r>
              <w:rPr>
                <w:b/>
                <w:bCs/>
              </w:rPr>
              <w:t>Tipo / Motivo</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RS01</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 redirecionamento para o WhatsApp deve utilizar o padrão de URL wa.me/55DDDNÚMERO (Click-to-Chat), com mensagem pré-preenchida opcional.</w:t>
            </w:r>
          </w:p>
        </w:tc>
        <w:tc>
          <w:tcPr>
            <w:tcW w:w="1940" w:type="dxa"/>
            <w:shd w:val="clear" w:color="auto" w:fill="FFFFFF"/>
            <w:tcMar>
              <w:top w:w="150" w:type="dxa"/>
              <w:left w:w="240" w:type="dxa"/>
              <w:bottom w:w="150" w:type="dxa"/>
              <w:right w:w="0" w:type="dxa"/>
            </w:tcMar>
            <w:vAlign w:val="center"/>
            <w:hideMark/>
          </w:tcPr>
          <w:p>
            <w:pPr>
              <w:spacing w:after="0"/>
            </w:pPr>
            <w:r>
              <w:rPr/>
              <w:t xml:space="preserve">Integração externa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RS02</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As imagens dos produtos, avaliações, cestas e fotos de perfil são armazenadas fora do banco relacional. Na versão atual ficam no disco do servidor (pasta public/uploads, servida em /uploads); a migração para armazenamento em nuvem (ex: Amazon S3, Google Cloud Storage) permanece prevista para produção.</w:t>
            </w:r>
          </w:p>
        </w:tc>
        <w:tc>
          <w:tcPr>
            <w:tcW w:w="1940" w:type="dxa"/>
            <w:shd w:val="clear" w:color="auto" w:fill="FFFFFF"/>
            <w:tcMar>
              <w:top w:w="150" w:type="dxa"/>
              <w:left w:w="240" w:type="dxa"/>
              <w:bottom w:w="150" w:type="dxa"/>
              <w:right w:w="0" w:type="dxa"/>
            </w:tcMar>
            <w:vAlign w:val="center"/>
            <w:hideMark/>
          </w:tcPr>
          <w:p>
            <w:pPr>
              <w:spacing w:after="0"/>
            </w:pPr>
            <w:r>
              <w:rPr/>
              <w:t xml:space="preserve">Tecnologia / Arquitetura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RS03</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 sistema deve estar em conformidade com a Lei Geral de Proteção de Dados (LGPD), permitindo que o usuário exclua sua conta e seus dados a qualquer momento (RN20).</w:t>
            </w:r>
          </w:p>
        </w:tc>
        <w:tc>
          <w:tcPr>
            <w:tcW w:w="1940" w:type="dxa"/>
            <w:shd w:val="clear" w:color="auto" w:fill="FFFFFF"/>
            <w:tcMar>
              <w:top w:w="150" w:type="dxa"/>
              <w:left w:w="240" w:type="dxa"/>
              <w:bottom w:w="150" w:type="dxa"/>
              <w:right w:w="0" w:type="dxa"/>
            </w:tcMar>
            <w:vAlign w:val="center"/>
            <w:hideMark/>
          </w:tcPr>
          <w:p>
            <w:pPr>
              <w:spacing w:after="0"/>
            </w:pPr>
            <w:r>
              <w:rPr/>
              <w:t xml:space="preserve">Legislação</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RS04</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Tecnologias adotadas: backend em Node.js com Express 5 e Drizzle ORM, em camadas (rotas → controllers → services → DAO → domínio); frontend em React 18, Vite 6, Tailwind CSS 4 e React Router; aplicativo Android com Capacitor.</w:t>
            </w:r>
          </w:p>
        </w:tc>
        <w:tc>
          <w:tcPr>
            <w:tcW w:w="1940" w:type="dxa"/>
            <w:shd w:val="clear" w:color="auto" w:fill="FFFFFF"/>
            <w:tcMar>
              <w:top w:w="150" w:type="dxa"/>
              <w:left w:w="240" w:type="dxa"/>
              <w:bottom w:w="150" w:type="dxa"/>
              <w:right w:w="0" w:type="dxa"/>
            </w:tcMar>
            <w:vAlign w:val="center"/>
            <w:hideMark/>
          </w:tcPr>
          <w:p>
            <w:pPr>
              <w:spacing w:after="0"/>
            </w:pPr>
            <w:r>
              <w:rPr/>
              <w:t xml:space="preserve">Tecnologia / Arquitetura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RS05</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A base de dados é relacional (PostgreSQL), com integridade referencial, restrições CHECK/UNIQUE e Row-Level Security. O esquema é criado e atualizado de forma idempotente na inicialização do servidor.</w:t>
            </w:r>
          </w:p>
        </w:tc>
        <w:tc>
          <w:tcPr>
            <w:tcW w:w="1940" w:type="dxa"/>
            <w:shd w:val="clear" w:color="auto" w:fill="FFFFFF"/>
            <w:tcMar>
              <w:top w:w="150" w:type="dxa"/>
              <w:left w:w="240" w:type="dxa"/>
              <w:bottom w:w="150" w:type="dxa"/>
              <w:right w:w="0" w:type="dxa"/>
            </w:tcMar>
            <w:vAlign w:val="center"/>
            <w:hideMark/>
          </w:tcPr>
          <w:p>
            <w:pPr>
              <w:spacing w:after="0"/>
            </w:pPr>
            <w:r>
              <w:rPr/>
              <w:t xml:space="preserve">Tecnologia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RS06</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 sistema deve gerar logs estruturados (formato JSON) para facilitar a integração com ferramentas de monitoramento (ex: ELK, Datadog).</w:t>
            </w:r>
          </w:p>
        </w:tc>
        <w:tc>
          <w:tcPr>
            <w:tcW w:w="1940" w:type="dxa"/>
            <w:shd w:val="clear" w:color="auto" w:fill="FFFFFF"/>
            <w:tcMar>
              <w:top w:w="150" w:type="dxa"/>
              <w:left w:w="240" w:type="dxa"/>
              <w:bottom w:w="150" w:type="dxa"/>
              <w:right w:w="0" w:type="dxa"/>
            </w:tcMar>
            <w:vAlign w:val="center"/>
            <w:hideMark/>
          </w:tcPr>
          <w:p>
            <w:pPr>
              <w:spacing w:after="0"/>
            </w:pPr>
            <w:r>
              <w:rPr/>
              <w:t xml:space="preserve">Operação / Monitoramento</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RS07</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A política de senhas exige no mínimo 8 caracteres, com letras maiúsculas, minúsculas, números e caracteres especiais.</w:t>
            </w:r>
          </w:p>
        </w:tc>
        <w:tc>
          <w:tcPr>
            <w:tcW w:w="1940" w:type="dxa"/>
            <w:shd w:val="clear" w:color="auto" w:fill="FFFFFF"/>
            <w:tcMar>
              <w:top w:w="150" w:type="dxa"/>
              <w:left w:w="240" w:type="dxa"/>
              <w:bottom w:w="150" w:type="dxa"/>
              <w:right w:w="0" w:type="dxa"/>
            </w:tcMar>
            <w:vAlign w:val="center"/>
            <w:hideMark/>
          </w:tcPr>
          <w:p>
            <w:pPr>
              <w:spacing w:after="0"/>
            </w:pPr>
            <w:r>
              <w:rPr/>
              <w:t xml:space="preserve">Segurança (política)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RS08</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 sistema disponibiliza uma API RESTful (prefixo /api, respostas no envelope {status, message, data}) consumida pelo site e pelo aplicativo Android.</w:t>
            </w:r>
          </w:p>
        </w:tc>
        <w:tc>
          <w:tcPr>
            <w:tcW w:w="1940" w:type="dxa"/>
            <w:shd w:val="clear" w:color="auto" w:fill="FFFFFF"/>
            <w:tcMar>
              <w:top w:w="150" w:type="dxa"/>
              <w:left w:w="240" w:type="dxa"/>
              <w:bottom w:w="150" w:type="dxa"/>
              <w:right w:w="0" w:type="dxa"/>
            </w:tcMar>
            <w:vAlign w:val="center"/>
            <w:hideMark/>
          </w:tcPr>
          <w:p>
            <w:pPr>
              <w:spacing w:after="0"/>
            </w:pPr>
            <w:r>
              <w:rPr/>
              <w:t xml:space="preserve">Arquitetura (extensibilidade)</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RS09</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Os anúncios removidos são mantidos na lixeira por 30 dias antes da exclusão definitiva, podendo ser restaurados nesse período (RN11, RN15).</w:t>
            </w:r>
          </w:p>
        </w:tc>
        <w:tc>
          <w:tcPr>
            <w:tcW w:w="1940" w:type="dxa"/>
            <w:shd w:val="clear" w:color="auto" w:fill="FFFFFF"/>
            <w:tcMar>
              <w:top w:w="150" w:type="dxa"/>
              <w:left w:w="240" w:type="dxa"/>
              <w:bottom w:w="150" w:type="dxa"/>
              <w:right w:w="0" w:type="dxa"/>
            </w:tcMar>
            <w:vAlign w:val="center"/>
            <w:hideMark/>
          </w:tcPr>
          <w:p>
            <w:pPr>
              <w:spacing w:after="0"/>
            </w:pPr>
            <w:r>
              <w:rPr/>
              <w:t xml:space="preserve">Política de negócio</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RS10</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 sistema deve suportar internacionalização (i18n) para possíveis expansões futuras; a versão atual é apenas em português (ainda não implementado).</w:t>
            </w:r>
          </w:p>
        </w:tc>
        <w:tc>
          <w:tcPr>
            <w:tcW w:w="1940" w:type="dxa"/>
            <w:shd w:val="clear" w:color="auto" w:fill="FFFFFF"/>
            <w:tcMar>
              <w:top w:w="150" w:type="dxa"/>
              <w:left w:w="240" w:type="dxa"/>
              <w:bottom w:w="150" w:type="dxa"/>
              <w:right w:w="0" w:type="dxa"/>
            </w:tcMar>
            <w:vAlign w:val="center"/>
            <w:hideMark/>
          </w:tcPr>
          <w:p>
            <w:pPr>
              <w:spacing w:after="0"/>
            </w:pPr>
            <w:r>
              <w:rPr/>
              <w:t xml:space="preserve">Arquitetura (planejamento)</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RS11</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A autenticação usa JSON Web Token (JWT) com validade de 24 horas; tokens revogados no logout ficam em lista de bloqueio até expirarem.</w:t>
            </w:r>
          </w:p>
        </w:tc>
        <w:tc>
          <w:tcPr>
            <w:tcW w:w="1940" w:type="dxa"/>
            <w:shd w:val="clear" w:color="auto" w:fill="FFFFFF"/>
            <w:tcMar>
              <w:top w:w="150" w:type="dxa"/>
              <w:left w:w="240" w:type="dxa"/>
              <w:bottom w:w="150" w:type="dxa"/>
              <w:right w:w="0" w:type="dxa"/>
            </w:tcMar>
            <w:vAlign w:val="center"/>
            <w:hideMark/>
          </w:tcPr>
          <w:p>
            <w:pPr>
              <w:spacing w:after="0"/>
            </w:pPr>
            <w:r>
              <w:rPr/>
              <w:t xml:space="preserve">Segurança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RS12</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 login social usa o Google Identity Services, validando o token no servidor com o identificador de cliente configurado (GOOGLE_CLIENT_ID).</w:t>
            </w:r>
          </w:p>
        </w:tc>
        <w:tc>
          <w:tcPr>
            <w:tcW w:w="1940" w:type="dxa"/>
            <w:shd w:val="clear" w:color="auto" w:fill="FFFFFF"/>
            <w:tcMar>
              <w:top w:w="150" w:type="dxa"/>
              <w:left w:w="240" w:type="dxa"/>
              <w:bottom w:w="150" w:type="dxa"/>
              <w:right w:w="0" w:type="dxa"/>
            </w:tcMar>
            <w:vAlign w:val="center"/>
            <w:hideMark/>
          </w:tcPr>
          <w:p>
            <w:pPr>
              <w:spacing w:after="0"/>
            </w:pPr>
            <w:r>
              <w:rPr/>
              <w:t xml:space="preserve">Integração externa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RS13</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E-mails transacionais (recuperação de senha e notificações) são enviados por SMTP com Nodemailer; sem SMTP configurado, usa-se uma conta de testes Ethereal ou o console.</w:t>
            </w:r>
          </w:p>
        </w:tc>
        <w:tc>
          <w:tcPr>
            <w:tcW w:w="1940" w:type="dxa"/>
            <w:shd w:val="clear" w:color="auto" w:fill="FFFFFF"/>
            <w:tcMar>
              <w:top w:w="150" w:type="dxa"/>
              <w:left w:w="240" w:type="dxa"/>
              <w:bottom w:w="150" w:type="dxa"/>
              <w:right w:w="0" w:type="dxa"/>
            </w:tcMar>
            <w:vAlign w:val="center"/>
            <w:hideMark/>
          </w:tcPr>
          <w:p>
            <w:pPr>
              <w:spacing w:after="0"/>
            </w:pPr>
            <w:r>
              <w:rPr/>
              <w:t xml:space="preserve">Integração externa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RS14</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A geocodificação dos endereços usa o serviço Nominatim (OpenStreetMap), respeitando o limite de 1 requisição por segundo; os mapas usam Leaflet com mapas do OpenStreetMap.</w:t>
            </w:r>
          </w:p>
        </w:tc>
        <w:tc>
          <w:tcPr>
            <w:tcW w:w="1940" w:type="dxa"/>
            <w:shd w:val="clear" w:color="auto" w:fill="FFFFFF"/>
            <w:tcMar>
              <w:top w:w="150" w:type="dxa"/>
              <w:left w:w="240" w:type="dxa"/>
              <w:bottom w:w="150" w:type="dxa"/>
              <w:right w:w="0" w:type="dxa"/>
            </w:tcMar>
            <w:vAlign w:val="center"/>
            <w:hideMark/>
          </w:tcPr>
          <w:p>
            <w:pPr>
              <w:spacing w:after="0"/>
            </w:pPr>
            <w:r>
              <w:rPr/>
              <w:t xml:space="preserve">Integração externa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RS15</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O pagamento é simulado nesta versão; a integração com um gateway de pagamento real (PIX, cartão e boleto) é necessária antes de uso em produção.</w:t>
            </w:r>
          </w:p>
        </w:tc>
        <w:tc>
          <w:tcPr>
            <w:tcW w:w="1940" w:type="dxa"/>
            <w:shd w:val="clear" w:color="auto" w:fill="FFFFFF"/>
            <w:tcMar>
              <w:top w:w="150" w:type="dxa"/>
              <w:left w:w="240" w:type="dxa"/>
              <w:bottom w:w="150" w:type="dxa"/>
              <w:right w:w="0" w:type="dxa"/>
            </w:tcMar>
            <w:vAlign w:val="center"/>
            <w:hideMark/>
          </w:tcPr>
          <w:p>
            <w:pPr>
              <w:spacing w:after="0"/>
            </w:pPr>
            <w:r>
              <w:rPr/>
              <w:t xml:space="preserve">Política de negócio (pendência)</w:t>
            </w:r>
          </w:p>
        </w:tc>
      </w:tr>
      <w:tr>
        <w:tc>
          <w:tcPr>
            <w:tcW w:w="949" w:type="dxa"/>
            <w:shd w:val="clear" w:color="auto" w:fill="FFFFFF"/>
            <w:tcMar>
              <w:top w:w="150" w:type="dxa"/>
              <w:left w:w="0" w:type="dxa"/>
              <w:bottom w:w="150" w:type="dxa"/>
              <w:right w:w="240" w:type="dxa"/>
            </w:tcMar>
            <w:vAlign w:val="center"/>
            <w:hideMark/>
          </w:tcPr>
          <w:p>
            <w:pPr>
              <w:spacing w:after="0"/>
            </w:pPr>
            <w:r>
              <w:rPr/>
              <w:t xml:space="preserve">RS16</w:t>
            </w:r>
          </w:p>
        </w:tc>
        <w:tc>
          <w:tcPr>
            <w:tcW w:w="7567" w:type="dxa"/>
            <w:gridSpan w:val="2"/>
            <w:shd w:val="clear" w:color="auto" w:fill="FFFFFF"/>
            <w:tcMar>
              <w:top w:w="150" w:type="dxa"/>
              <w:left w:w="240" w:type="dxa"/>
              <w:bottom w:w="150" w:type="dxa"/>
              <w:right w:w="240" w:type="dxa"/>
            </w:tcMar>
            <w:vAlign w:val="center"/>
            <w:hideMark/>
          </w:tcPr>
          <w:p>
            <w:pPr>
              <w:spacing w:after="0"/>
            </w:pPr>
            <w:r>
              <w:rPr/>
              <w:t xml:space="preserve">As páginas de compartilhamento (/share/produto/:id e /share/produtor/:id) geram metadados Open Graph para a prévia no WhatsApp; exigem URL pública do servidor.</w:t>
            </w:r>
          </w:p>
        </w:tc>
        <w:tc>
          <w:tcPr>
            <w:tcW w:w="1940" w:type="dxa"/>
            <w:shd w:val="clear" w:color="auto" w:fill="FFFFFF"/>
            <w:tcMar>
              <w:top w:w="150" w:type="dxa"/>
              <w:left w:w="240" w:type="dxa"/>
              <w:bottom w:w="150" w:type="dxa"/>
              <w:right w:w="0" w:type="dxa"/>
            </w:tcMar>
            <w:vAlign w:val="center"/>
            <w:hideMark/>
          </w:tcPr>
          <w:p>
            <w:pPr>
              <w:spacing w:after="0"/>
            </w:pPr>
            <w:r>
              <w:rPr/>
              <w:t xml:space="preserve">Integração externa</w:t>
            </w:r>
          </w:p>
        </w:tc>
      </w:tr>
    </w:tbl>
    <w:p w14:paraId="06DA7FE7" w14:textId="77777777" w:rsidR="0000592F" w:rsidRPr="0000592F" w:rsidRDefault="0000592F" w:rsidP="0000592F">
      <w:pPr>
        <w:spacing w:after="0"/>
      </w:pPr>
    </w:p>
    <w:p>
      <w:pPr>
        <w:rPr>
          <w:b/>
          <w:bCs/>
        </w:rPr>
      </w:pPr>
    </w:p>
    <w:p>
      <w:pPr>
        <w:rPr>
          <w:b/>
          <w:bCs/>
        </w:rPr>
      </w:pPr>
      <w:r>
        <w:rPr>
          <w:b/>
          <w:bCs/>
        </w:rPr>
        <w:t xml:space="preserve">ALTERAÇÕES EM RELAÇÃO À VERSÃO ANTERIOR</w:t>
      </w:r>
    </w:p>
    <w:p>
      <w:pPr>
        <w:rPr>
          <w:b/>
          <w:bCs/>
        </w:rPr>
      </w:pPr>
      <w:r>
        <w:rPr>
          <w:b/>
          <w:bCs/>
          <w:b w:val="0"/>
          <w:bCs w:val="0"/>
        </w:rPr>
        <w:t xml:space="preserve">– Requisitos funcionais: RF01, RF02, RF03, RF06, RF08, RF09 e RF13 ajustados à implementação (sem username; nome e sobrenome; endereço com os mesmos campos nas duas zonas; dados de venda do anúncio; pausar/restaurar; exclusão definitiva). Novos RF14 a RF33.</w:t>
      </w:r>
    </w:p>
    <w:p>
      <w:pPr>
        <w:rPr>
          <w:b/>
          <w:bCs/>
        </w:rPr>
      </w:pPr>
      <w:r>
        <w:rPr>
          <w:b/>
          <w:bCs/>
          <w:b w:val="0"/>
          <w:bCs w:val="0"/>
        </w:rPr>
        <w:t xml:space="preserve">– Requisitos não funcionais: RNF03 a RNF07, RNF11 e RNF12 detalhados; novos RNF13 a RNF15.</w:t>
      </w:r>
    </w:p>
    <w:p>
      <w:pPr>
        <w:rPr>
          <w:b/>
          <w:bCs/>
        </w:rPr>
      </w:pPr>
      <w:r>
        <w:rPr>
          <w:b/>
          <w:bCs/>
          <w:b w:val="0"/>
          <w:bCs w:val="0"/>
        </w:rPr>
        <w:t xml:space="preserve">– Requisitos suplementares: RS02 (armazenamento local de imagens nesta versão), RS04, RS05, RS08 e RS09 definidos conforme o que foi construído; novos RS11 a RS16.</w:t>
      </w:r>
    </w:p>
    <w:sectPr w:rsidR="0000592F" w:rsidRPr="0000592F" w:rsidSect="0000592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2F"/>
    <w:rsid w:val="0000592F"/>
    <w:rsid w:val="008F5D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3C89"/>
  <w15:chartTrackingRefBased/>
  <w15:docId w15:val="{1972BEFB-A5D7-4A36-AAB0-A4206792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05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05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059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059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059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059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059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059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0592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592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0592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0592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0592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0592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0592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0592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0592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0592F"/>
    <w:rPr>
      <w:rFonts w:eastAsiaTheme="majorEastAsia" w:cstheme="majorBidi"/>
      <w:color w:val="272727" w:themeColor="text1" w:themeTint="D8"/>
    </w:rPr>
  </w:style>
  <w:style w:type="paragraph" w:styleId="Ttulo">
    <w:name w:val="Title"/>
    <w:basedOn w:val="Normal"/>
    <w:next w:val="Normal"/>
    <w:link w:val="TtuloChar"/>
    <w:uiPriority w:val="10"/>
    <w:qFormat/>
    <w:rsid w:val="00005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059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0592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0592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0592F"/>
    <w:pPr>
      <w:spacing w:before="160"/>
      <w:jc w:val="center"/>
    </w:pPr>
    <w:rPr>
      <w:i/>
      <w:iCs/>
      <w:color w:val="404040" w:themeColor="text1" w:themeTint="BF"/>
    </w:rPr>
  </w:style>
  <w:style w:type="character" w:customStyle="1" w:styleId="CitaoChar">
    <w:name w:val="Citação Char"/>
    <w:basedOn w:val="Fontepargpadro"/>
    <w:link w:val="Citao"/>
    <w:uiPriority w:val="29"/>
    <w:rsid w:val="0000592F"/>
    <w:rPr>
      <w:i/>
      <w:iCs/>
      <w:color w:val="404040" w:themeColor="text1" w:themeTint="BF"/>
    </w:rPr>
  </w:style>
  <w:style w:type="paragraph" w:styleId="PargrafodaLista">
    <w:name w:val="List Paragraph"/>
    <w:basedOn w:val="Normal"/>
    <w:uiPriority w:val="34"/>
    <w:qFormat/>
    <w:rsid w:val="0000592F"/>
    <w:pPr>
      <w:ind w:left="720"/>
      <w:contextualSpacing/>
    </w:pPr>
  </w:style>
  <w:style w:type="character" w:styleId="nfaseIntensa">
    <w:name w:val="Intense Emphasis"/>
    <w:basedOn w:val="Fontepargpadro"/>
    <w:uiPriority w:val="21"/>
    <w:qFormat/>
    <w:rsid w:val="0000592F"/>
    <w:rPr>
      <w:i/>
      <w:iCs/>
      <w:color w:val="0F4761" w:themeColor="accent1" w:themeShade="BF"/>
    </w:rPr>
  </w:style>
  <w:style w:type="paragraph" w:styleId="CitaoIntensa">
    <w:name w:val="Intense Quote"/>
    <w:basedOn w:val="Normal"/>
    <w:next w:val="Normal"/>
    <w:link w:val="CitaoIntensaChar"/>
    <w:uiPriority w:val="30"/>
    <w:qFormat/>
    <w:rsid w:val="00005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0592F"/>
    <w:rPr>
      <w:i/>
      <w:iCs/>
      <w:color w:val="0F4761" w:themeColor="accent1" w:themeShade="BF"/>
    </w:rPr>
  </w:style>
  <w:style w:type="character" w:styleId="RefernciaIntensa">
    <w:name w:val="Intense Reference"/>
    <w:basedOn w:val="Fontepargpadro"/>
    <w:uiPriority w:val="32"/>
    <w:qFormat/>
    <w:rsid w:val="00005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C6823-D768-4A71-9558-C42D1F5A1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732</Words>
  <Characters>3957</Characters>
  <Application>Microsoft Office Word</Application>
  <DocSecurity>0</DocSecurity>
  <Lines>32</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Barros</dc:creator>
  <cp:keywords/>
  <dc:description/>
  <cp:lastModifiedBy>Hugo Barros</cp:lastModifiedBy>
  <cp:revision>1</cp:revision>
  <dcterms:created xsi:type="dcterms:W3CDTF">2026-07-13T13:34:00Z</dcterms:created>
  <dcterms:modified xsi:type="dcterms:W3CDTF">2026-07-13T13:41:00Z</dcterms:modified>
</cp:coreProperties>
</file>