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rPr>
          <w:rStyle w:val="SectionNumber"/>
        </w:rPr>
        <w:t xml:space="preserve">1</w:t>
      </w:r>
      <w:r>
        <w:tab/>
      </w:r>
      <w:r>
        <w:t xml:space="preserve">Introduction</w:t>
      </w:r>
    </w:p>
    <w:p>
      <w:pPr>
        <w:pStyle w:val="FirstParagraph"/>
      </w:pPr>
      <w:r>
        <w:t xml:space="preserve">Après avoir vu en TD le profil de température dans un mur en 1D en régime stationnaire, cette note de calcul a pour objectif de modéliser le comportement thermique d’une cellule plane de batterie lithium-ion par la méthode des volumes finis.</w:t>
      </w:r>
    </w:p>
    <w:p>
      <w:pPr>
        <w:pStyle w:val="BodyText"/>
      </w:pPr>
      <w:r>
        <w:t xml:space="preserve">Quatre niveaux de modélisation sont abordés de manière progressive :</w:t>
      </w:r>
    </w:p>
    <w:p>
      <w:pPr>
        <w:numPr>
          <w:ilvl w:val="0"/>
          <w:numId w:val="1001"/>
        </w:numPr>
        <w:pStyle w:val="Compact"/>
      </w:pPr>
      <w:r>
        <w:t xml:space="preserve">Simulation d’une cellule élémentaire multicouche avec ses cinq couches constitutives, en convection symétrique.</w:t>
      </w:r>
    </w:p>
    <w:p>
      <w:pPr>
        <w:numPr>
          <w:ilvl w:val="0"/>
          <w:numId w:val="1001"/>
        </w:numPr>
        <w:pStyle w:val="Compact"/>
      </w:pPr>
      <w:r>
        <w:t xml:space="preserve">Détermination d’un milieu homogène équivalent (conductivité et source de chaleur équivalentes) représentant la cellule de façon simplifiée.</w:t>
      </w:r>
    </w:p>
    <w:p>
      <w:pPr>
        <w:numPr>
          <w:ilvl w:val="0"/>
          <w:numId w:val="1001"/>
        </w:numPr>
        <w:pStyle w:val="Compact"/>
      </w:pPr>
      <w:r>
        <w:t xml:space="preserve">Simulation d’un assemblage de 50 cellules et détermination du coefficient d’échange h minimal pour maintenir la batterie dans des plages de température de sécurité lors d’une charge lente et d’une charge rapide.</w:t>
      </w:r>
    </w:p>
    <w:p>
      <w:pPr>
        <w:numPr>
          <w:ilvl w:val="0"/>
          <w:numId w:val="1001"/>
        </w:numPr>
        <w:pStyle w:val="Compact"/>
      </w:pPr>
      <w:r>
        <w:t xml:space="preserve">Prise en compte d’une résistance de contact entre chaque cellule impactant ainsi la conduction entre chaque couche.</w:t>
      </w:r>
    </w:p>
    <w:p>
      <w:pPr>
        <w:pStyle w:val="FirstParagraph"/>
      </w:pPr>
      <w:r>
        <w:t xml:space="preserve">Le code de calcul est écrit en Fortran 95, basé sur le programme développé en TD (résolution TDMA, volumes finis, conditions aux limites de convection). Le programme a été étendu pour gérer les maillages multicouches et les conductivités harmoniques aux interfaces.</w:t>
      </w:r>
    </w:p>
    <w:bookmarkEnd w:id="20"/>
    <w:bookmarkStart w:id="25" w:name="description-du-problème"/>
    <w:p>
      <w:pPr>
        <w:pStyle w:val="Heading1"/>
      </w:pPr>
      <w:r>
        <w:rPr>
          <w:rStyle w:val="SectionNumber"/>
        </w:rPr>
        <w:t xml:space="preserve">2</w:t>
      </w:r>
      <w:r>
        <w:tab/>
      </w:r>
      <w:r>
        <w:t xml:space="preserve">Description du problème</w:t>
      </w:r>
    </w:p>
    <w:p>
      <w:pPr>
        <w:pStyle w:val="FirstParagraph"/>
      </w:pPr>
      <w:r>
        <w:t xml:space="preserve">Les grandeurs connues sont l’épaisseur et les propriétés thermophysiques de chaque</w:t>
      </w:r>
      <w:r>
        <w:t xml:space="preserve"> </w:t>
      </w:r>
      <w:r>
        <w:t xml:space="preserve">couche, les sources volumiques de chaleur et les conditions aux limites convectives</w:t>
      </w:r>
      <w:r>
        <w:t xml:space="preserve"> </w:t>
      </w:r>
      <w:r>
        <w:t xml:space="preserve">(</w:t>
      </w:r>
      <m:oMath>
        <m:r>
          <m:t>h</m:t>
        </m:r>
      </m:oMath>
      <w:r>
        <w:t xml:space="preserve">,</w:t>
      </w:r>
      <w:r>
        <w:t xml:space="preserve"> </w:t>
      </w:r>
      <m:oMath>
        <m:sSub>
          <m:e>
            <m:r>
              <m:t>T</m:t>
            </m:r>
          </m:e>
          <m:sub>
            <m:r>
              <m:t>f</m:t>
            </m:r>
            <m:r>
              <m:t>l</m:t>
            </m:r>
            <m:r>
              <m:t>u</m:t>
            </m:r>
            <m:r>
              <m:t>i</m:t>
            </m:r>
            <m:r>
              <m:t>d</m:t>
            </m:r>
            <m:r>
              <m:t>e</m:t>
            </m:r>
          </m:sub>
        </m:sSub>
      </m:oMath>
      <w:r>
        <w:t xml:space="preserve">). Les grandeurs recherchées sont le profil de température</w:t>
      </w:r>
      <w:r>
        <w:t xml:space="preserve"> </w:t>
      </w:r>
      <m:oMath>
        <m:r>
          <m:t>T</m:t>
        </m:r>
        <m:d>
          <m:dPr>
            <m:begChr m:val="("/>
            <m:endChr m:val=")"/>
            <m:sepChr m:val=""/>
            <m:grow/>
          </m:dPr>
          <m:e>
            <m:r>
              <m:t>x</m:t>
            </m:r>
          </m:e>
        </m:d>
      </m:oMath>
      <w:r>
        <w:t xml:space="preserve"> </w:t>
      </w:r>
      <w:r>
        <w:t xml:space="preserve">dans la cellule, la température maximale</w:t>
      </w:r>
      <w:r>
        <w:t xml:space="preserve"> </w:t>
      </w:r>
      <m:oMath>
        <m:sSub>
          <m:e>
            <m:r>
              <m:t>T</m:t>
            </m:r>
          </m:e>
          <m:sub>
            <m:r>
              <m:t>m</m:t>
            </m:r>
            <m:r>
              <m:t>a</m:t>
            </m:r>
            <m:r>
              <m:t>x</m:t>
            </m:r>
          </m:sub>
        </m:sSub>
      </m:oMath>
      <w:r>
        <w:t xml:space="preserve">, et — pour l’assemblage — le</w:t>
      </w:r>
      <w:r>
        <w:t xml:space="preserve"> </w:t>
      </w:r>
      <w:r>
        <w:t xml:space="preserve">coefficient d’échange minimal</w:t>
      </w:r>
      <w:r>
        <w:t xml:space="preserve"> </w:t>
      </w:r>
      <m:oMath>
        <m:sSub>
          <m:e>
            <m:r>
              <m:t>h</m:t>
            </m:r>
          </m:e>
          <m:sub>
            <m:r>
              <m:t>m</m:t>
            </m:r>
            <m:r>
              <m:t>i</m:t>
            </m:r>
            <m:r>
              <m:t>n</m:t>
            </m:r>
          </m:sub>
        </m:sSub>
      </m:oMath>
      <w:r>
        <w:t xml:space="preserve"> </w:t>
      </w:r>
      <w:r>
        <w:t xml:space="preserve">permettant de respecter les seuils de sécurité.</w:t>
      </w:r>
    </w:p>
    <w:bookmarkStart w:id="21" w:name="géométrie-et-composition-de-la-cellule"/>
    <w:p>
      <w:pPr>
        <w:pStyle w:val="Heading2"/>
      </w:pPr>
      <w:r>
        <w:rPr>
          <w:rStyle w:val="SectionNumber"/>
        </w:rPr>
        <w:t xml:space="preserve">2.1</w:t>
      </w:r>
      <w:r>
        <w:tab/>
      </w:r>
      <w:r>
        <w:t xml:space="preserve">Géométrie et composition de la cellule</w:t>
      </w:r>
    </w:p>
    <w:p>
      <w:pPr>
        <w:pStyle w:val="FirstParagraph"/>
      </w:pPr>
      <w:r>
        <w:t xml:space="preserve">La cellule élémentaire est assimilée à une</w:t>
      </w:r>
      <w:r>
        <w:t xml:space="preserve"> </w:t>
      </w:r>
      <w:r>
        <w:rPr>
          <w:bCs/>
          <w:b/>
        </w:rPr>
        <w:t xml:space="preserve">plaque plane multicouche 1D</w:t>
      </w:r>
      <w:r>
        <w:t xml:space="preserve">, d’épaisseur totale L = 250</w:t>
      </w:r>
      <w:r>
        <w:t xml:space="preserve"> </w:t>
      </w:r>
      <m:oMath>
        <m:r>
          <m:t>μ</m:t>
        </m:r>
        <m:r>
          <m:t>m</m:t>
        </m:r>
      </m:oMath>
      <w:r>
        <w:t xml:space="preserve"> </w:t>
      </w:r>
      <w:r>
        <w:t xml:space="preserve">, composée de cinq couches successives décrites dans le Tableau 1.</w:t>
      </w:r>
    </w:p>
    <w:bookmarkEnd w:id="21"/>
    <w:bookmarkStart w:id="22" w:name="phénomènes-physiques-et-hypothèses"/>
    <w:p>
      <w:pPr>
        <w:pStyle w:val="Heading2"/>
      </w:pPr>
      <w:r>
        <w:rPr>
          <w:rStyle w:val="SectionNumber"/>
        </w:rPr>
        <w:t xml:space="preserve">2.2</w:t>
      </w:r>
      <w:r>
        <w:tab/>
      </w:r>
      <w:r>
        <w:t xml:space="preserve">Phénomènes physiques et hypothèses</w:t>
      </w:r>
    </w:p>
    <w:p>
      <w:pPr>
        <w:pStyle w:val="FirstParagraph"/>
      </w:pPr>
      <w:r>
        <w:t xml:space="preserve">La chaleur est générée par effet Joule dans chaque couche. Les hypothèses retenues sont les suivantes :</w:t>
      </w:r>
    </w:p>
    <w:p>
      <w:pPr>
        <w:numPr>
          <w:ilvl w:val="0"/>
          <w:numId w:val="1002"/>
        </w:numPr>
        <w:pStyle w:val="Compact"/>
      </w:pPr>
      <w:r>
        <w:t xml:space="preserve">Régime permanent (stationnaire) — bilan thermique en équilibre.</w:t>
      </w:r>
    </w:p>
    <w:p>
      <w:pPr>
        <w:numPr>
          <w:ilvl w:val="0"/>
          <w:numId w:val="1002"/>
        </w:numPr>
        <w:pStyle w:val="Compact"/>
      </w:pPr>
      <w:r>
        <w:t xml:space="preserve">Géométrie 1D plane — pas de variations transversales de température.</w:t>
      </w:r>
    </w:p>
    <w:p>
      <w:pPr>
        <w:numPr>
          <w:ilvl w:val="0"/>
          <w:numId w:val="1002"/>
        </w:numPr>
        <w:pStyle w:val="Compact"/>
      </w:pPr>
      <w:r>
        <w:t xml:space="preserve">Propriétés thermiques homogènes et indépendantes de la température dans chaque couche.</w:t>
      </w:r>
    </w:p>
    <w:p>
      <w:pPr>
        <w:numPr>
          <w:ilvl w:val="0"/>
          <w:numId w:val="1002"/>
        </w:numPr>
        <w:pStyle w:val="Compact"/>
      </w:pPr>
      <w:r>
        <w:t xml:space="preserve">Symétrie du refroidissement — convection identique sur les deux faces pour une cellule en cœur d’assemblage.</w:t>
      </w:r>
    </w:p>
    <w:bookmarkEnd w:id="22"/>
    <w:bookmarkStart w:id="23" w:name="X8faab8ddbe24531b86eeeda56e78afdf69211de"/>
    <w:p>
      <w:pPr>
        <w:pStyle w:val="Heading2"/>
      </w:pPr>
      <w:r>
        <w:rPr>
          <w:rStyle w:val="SectionNumber"/>
        </w:rPr>
        <w:t xml:space="preserve">2.3</w:t>
      </w:r>
      <w:r>
        <w:tab/>
      </w:r>
      <w:r>
        <w:t xml:space="preserve">Propriétés thermophysiques — justification des conductivités</w:t>
      </w:r>
    </w:p>
    <w:p>
      <w:pPr>
        <w:pStyle w:val="FirstParagraph"/>
      </w:pPr>
      <w:r>
        <w:t xml:space="preserve">Les sources volumiques sont fournies dans l’énoncé. Les conductivités thermiques (direction normale aux couches, direction through-plane) ont été recherchées dans la littérature :</w:t>
      </w:r>
    </w:p>
    <w:p>
      <w:pPr>
        <w:pStyle w:val="BodyText"/>
      </w:pPr>
      <w:r>
        <w:rPr>
          <w:bCs/>
          <w:b/>
        </w:rPr>
        <w:t xml:space="preserve">Note sur l’incertitude :</w:t>
      </w:r>
      <w:r>
        <w:t xml:space="preserve"> </w:t>
      </w:r>
      <w:r>
        <w:t xml:space="preserve">Les conductivités des électrodes actives (cathode NMC et anode graphite) présentent une variabilité importante selon la formulation, la densification et la direction de mesure. Une incertitude de ±30–40 % sur K entraîne une incertitude similaire sur le gradient de température dans ces couches, mais peu d’effet sur la résistance thermique totale (dominée par les couches épaisses à faible K). L’incertitude principale sur</w:t>
      </w:r>
      <w:r>
        <w:t xml:space="preserve"> </w:t>
      </w:r>
      <m:oMath>
        <m:sSub>
          <m:e>
            <m:r>
              <m:t>T</m:t>
            </m:r>
          </m:e>
          <m:sub>
            <m:r>
              <m:t>m</m:t>
            </m:r>
            <m:r>
              <m:t>a</m:t>
            </m:r>
            <m:r>
              <m:t>x</m:t>
            </m:r>
          </m:sub>
        </m:sSub>
      </m:oMath>
      <w:r>
        <w:t xml:space="preserve"> </w:t>
      </w:r>
      <w:r>
        <w:t xml:space="preserve">est estimée à ±15 % pour la cellule isolée.</w:t>
      </w:r>
    </w:p>
    <w:bookmarkEnd w:id="23"/>
    <w:bookmarkStart w:id="24" w:name="conditions-aux-limites"/>
    <w:p>
      <w:pPr>
        <w:pStyle w:val="Heading2"/>
      </w:pPr>
      <w:r>
        <w:rPr>
          <w:rStyle w:val="SectionNumber"/>
        </w:rPr>
        <w:t xml:space="preserve">2.4</w:t>
      </w:r>
      <w:r>
        <w:tab/>
      </w:r>
      <w:r>
        <w:t xml:space="preserve">Conditions aux limites</w:t>
      </w:r>
    </w:p>
    <w:p>
      <w:pPr>
        <w:pStyle w:val="FirstParagraph"/>
      </w:pPr>
      <w:r>
        <w:t xml:space="preserve">Pour représenter une cellule en cœur d’un assemblage refroidi des deux côtés (configuration symétrique) :</w:t>
      </w:r>
    </w:p>
    <w:p>
      <w:pPr>
        <w:numPr>
          <w:ilvl w:val="0"/>
          <w:numId w:val="1003"/>
        </w:numPr>
        <w:pStyle w:val="Compact"/>
      </w:pPr>
      <w:r>
        <w:t xml:space="preserve">Face gauche (Ouest) : convection — flux</w:t>
      </w:r>
      <w:r>
        <w:t xml:space="preserve"> </w:t>
      </w:r>
      <m:oMath>
        <m:r>
          <m:t>Φ</m:t>
        </m:r>
        <m:r>
          <m:rPr>
            <m:sty m:val="p"/>
          </m:rPr>
          <m:t>=</m:t>
        </m:r>
        <m:r>
          <m:t>h</m:t>
        </m:r>
        <m:r>
          <m:rPr>
            <m:sty m:val="p"/>
          </m:rPr>
          <m:t>⋅</m:t>
        </m:r>
        <m:d>
          <m:dPr>
            <m:begChr m:val="("/>
            <m:endChr m:val=")"/>
            <m:sepChr m:val=""/>
            <m:grow/>
          </m:dPr>
          <m:e>
            <m:sSub>
              <m:e>
                <m:r>
                  <m:t>T</m:t>
                </m:r>
              </m:e>
              <m:sub>
                <m:r>
                  <m:t>f</m:t>
                </m:r>
                <m:r>
                  <m:t>a</m:t>
                </m:r>
                <m:r>
                  <m:t>c</m:t>
                </m:r>
                <m:r>
                  <m:t>e</m:t>
                </m:r>
              </m:sub>
            </m:sSub>
            <m:r>
              <m:rPr>
                <m:sty m:val="p"/>
              </m:rPr>
              <m:t>−</m:t>
            </m:r>
            <m:sSub>
              <m:e>
                <m:r>
                  <m:t>T</m:t>
                </m:r>
              </m:e>
              <m:sub>
                <m:r>
                  <m:t>f</m:t>
                </m:r>
                <m:r>
                  <m:t>l</m:t>
                </m:r>
                <m:r>
                  <m:t>u</m:t>
                </m:r>
                <m:r>
                  <m:t>i</m:t>
                </m:r>
                <m:r>
                  <m:t>d</m:t>
                </m:r>
                <m:r>
                  <m:t>e</m:t>
                </m:r>
              </m:sub>
            </m:sSub>
          </m:e>
        </m:d>
      </m:oMath>
      <w:r>
        <w:t xml:space="preserve">, avec</w:t>
      </w:r>
      <w:r>
        <w:t xml:space="preserve"> </w:t>
      </w:r>
      <m:oMath>
        <m:sSub>
          <m:e>
            <m:r>
              <m:t>T</m:t>
            </m:r>
          </m:e>
          <m:sub>
            <m:r>
              <m:t>f</m:t>
            </m:r>
            <m:r>
              <m:t>l</m:t>
            </m:r>
            <m:r>
              <m:t>u</m:t>
            </m:r>
            <m:r>
              <m:t>i</m:t>
            </m:r>
            <m:r>
              <m:t>d</m:t>
            </m:r>
            <m:r>
              <m:t>e</m:t>
            </m:r>
          </m:sub>
        </m:sSub>
        <m:r>
          <m:rPr>
            <m:sty m:val="p"/>
          </m:rPr>
          <m:t>=</m:t>
        </m:r>
        <m:r>
          <m:t>40</m:t>
        </m:r>
      </m:oMath>
      <w:r>
        <w:t xml:space="preserve"> </w:t>
      </w:r>
      <w:r>
        <w:t xml:space="preserve">°C</w:t>
      </w:r>
    </w:p>
    <w:p>
      <w:pPr>
        <w:numPr>
          <w:ilvl w:val="0"/>
          <w:numId w:val="1003"/>
        </w:numPr>
        <w:pStyle w:val="Compact"/>
      </w:pPr>
      <w:r>
        <w:t xml:space="preserve">Face droite (Est) : convection — même condition par symétrie.</w:t>
      </w:r>
    </w:p>
    <w:p>
      <w:pPr>
        <w:numPr>
          <w:ilvl w:val="0"/>
          <w:numId w:val="1003"/>
        </w:numPr>
        <w:pStyle w:val="Compact"/>
      </w:pPr>
      <w:r>
        <w:t xml:space="preserve">Coefficient h = 10</w:t>
      </w:r>
      <w:r>
        <w:t xml:space="preserve"> </w:t>
      </w:r>
      <m:oMath>
        <m:r>
          <m:t>W</m:t>
        </m:r>
        <m:r>
          <m:rPr>
            <m:sty m:val="p"/>
          </m:rPr>
          <m:t>/</m:t>
        </m:r>
        <m:sSup>
          <m:e>
            <m:r>
              <m:t>m</m:t>
            </m:r>
          </m:e>
          <m:sup>
            <m:r>
              <m:t>2</m:t>
            </m:r>
          </m:sup>
        </m:sSup>
        <m:r>
          <m:t>K</m:t>
        </m:r>
      </m:oMath>
      <w:r>
        <w:t xml:space="preserve"> </w:t>
      </w:r>
      <w:r>
        <w:t xml:space="preserve">— refroidissement naturel / convection forcée modérée, typique pour des cellules prismatiques avec plaque froide selon les préconisations NREL 2024 [4].</w:t>
      </w:r>
    </w:p>
    <w:bookmarkEnd w:id="24"/>
    <w:bookmarkEnd w:id="25"/>
    <w:bookmarkStart w:id="29" w:name="modèle-numérique"/>
    <w:p>
      <w:pPr>
        <w:pStyle w:val="Heading1"/>
      </w:pPr>
      <w:r>
        <w:rPr>
          <w:rStyle w:val="SectionNumber"/>
        </w:rPr>
        <w:t xml:space="preserve">3</w:t>
      </w:r>
      <w:r>
        <w:tab/>
      </w:r>
      <w:r>
        <w:t xml:space="preserve">Modèle numérique</w:t>
      </w:r>
    </w:p>
    <w:bookmarkStart w:id="26" w:name="méthode-des-volumes-finis"/>
    <w:p>
      <w:pPr>
        <w:pStyle w:val="Heading2"/>
      </w:pPr>
      <w:r>
        <w:rPr>
          <w:rStyle w:val="SectionNumber"/>
        </w:rPr>
        <w:t xml:space="preserve">3.1</w:t>
      </w:r>
      <w:r>
        <w:tab/>
      </w:r>
      <w:r>
        <w:t xml:space="preserve">Méthode des volumes finis</w:t>
      </w:r>
    </w:p>
    <w:p>
      <w:pPr>
        <w:pStyle w:val="FirstParagraph"/>
      </w:pPr>
      <w:r>
        <w:t xml:space="preserve">La méthode des volumes finis 1D est appliquée sur un maillage structuré. Pour chaque volume de contrôle i de demi-largeur</w:t>
      </w:r>
      <w:r>
        <w:t xml:space="preserve"> </w:t>
      </w:r>
      <m:oMath>
        <m:r>
          <m:t>d</m:t>
        </m:r>
        <m:sSub>
          <m:e>
            <m:r>
              <m:t>x</m:t>
            </m:r>
          </m:e>
          <m:sub>
            <m:r>
              <m:t>i</m:t>
            </m:r>
          </m:sub>
        </m:sSub>
      </m:oMath>
      <w:r>
        <w:t xml:space="preserve">, le bilan d’énergie s’écrit :</w:t>
      </w:r>
    </w:p>
    <w:p>
      <w:pPr>
        <w:pStyle w:val="BodyText"/>
      </w:pPr>
      <m:oMathPara>
        <m:oMathParaPr>
          <m:jc m:val="center"/>
        </m:oMathParaPr>
        <m:oMath>
          <m:sSub>
            <m:e>
              <m:r>
                <m:t>a</m:t>
              </m:r>
            </m:e>
            <m:sub>
              <m:r>
                <m:t>w</m:t>
              </m:r>
            </m:sub>
          </m:sSub>
          <m:r>
            <m:rPr>
              <m:sty m:val="p"/>
            </m:rPr>
            <m:t>⋅</m:t>
          </m:r>
          <m:sSub>
            <m:e>
              <m:r>
                <m:t>T</m:t>
              </m:r>
            </m:e>
            <m:sub>
              <m:r>
                <m:t>i</m:t>
              </m:r>
              <m:r>
                <m:rPr>
                  <m:sty m:val="p"/>
                </m:rPr>
                <m:t>−</m:t>
              </m:r>
              <m:r>
                <m:t>1</m:t>
              </m:r>
            </m:sub>
          </m:sSub>
          <m:r>
            <m:rPr>
              <m:sty m:val="p"/>
            </m:rPr>
            <m:t>−</m:t>
          </m:r>
          <m:sSub>
            <m:e>
              <m:r>
                <m:t>a</m:t>
              </m:r>
            </m:e>
            <m:sub>
              <m:r>
                <m:t>p</m:t>
              </m:r>
            </m:sub>
          </m:sSub>
          <m:r>
            <m:rPr>
              <m:sty m:val="p"/>
            </m:rPr>
            <m:t>⋅</m:t>
          </m:r>
          <m:sSub>
            <m:e>
              <m:r>
                <m:t>T</m:t>
              </m:r>
            </m:e>
            <m:sub>
              <m:r>
                <m:t>i</m:t>
              </m:r>
            </m:sub>
          </m:sSub>
          <m:r>
            <m:rPr>
              <m:sty m:val="p"/>
            </m:rPr>
            <m:t>+</m:t>
          </m:r>
          <m:sSub>
            <m:e>
              <m:r>
                <m:t>a</m:t>
              </m:r>
            </m:e>
            <m:sub>
              <m:r>
                <m:t>e</m:t>
              </m:r>
            </m:sub>
          </m:sSub>
          <m:r>
            <m:rPr>
              <m:sty m:val="p"/>
            </m:rPr>
            <m:t>⋅</m:t>
          </m:r>
          <m:sSub>
            <m:e>
              <m:r>
                <m:t>T</m:t>
              </m:r>
            </m:e>
            <m:sub>
              <m:r>
                <m:t>i</m:t>
              </m:r>
              <m:r>
                <m:rPr>
                  <m:sty m:val="p"/>
                </m:rPr>
                <m:t>+</m:t>
              </m:r>
              <m:r>
                <m:t>1</m:t>
              </m:r>
            </m:sub>
          </m:sSub>
          <m:r>
            <m:rPr>
              <m:sty m:val="p"/>
            </m:rPr>
            <m:t>=</m:t>
          </m:r>
          <m:r>
            <m:rPr>
              <m:sty m:val="p"/>
            </m:rPr>
            <m:t>−</m:t>
          </m:r>
          <m:sSub>
            <m:e>
              <m:r>
                <m:t>b</m:t>
              </m:r>
            </m:e>
            <m:sub>
              <m:r>
                <m:t>i</m:t>
              </m:r>
            </m:sub>
          </m:sSub>
        </m:oMath>
      </m:oMathPara>
    </w:p>
    <w:p>
      <w:pPr>
        <w:pStyle w:val="FirstParagraph"/>
      </w:pPr>
      <w:r>
        <w:t xml:space="preserve">avec les conductances nodales calculées par la moyenne harmonique des conductivités des volumes voisins, assurant la continuité du flux aux interfaces entre couches de conductivités différentes :</w:t>
      </w:r>
    </w:p>
    <w:p>
      <w:pPr>
        <w:pStyle w:val="BodyText"/>
      </w:pPr>
      <m:oMathPara>
        <m:oMathParaPr>
          <m:jc m:val="center"/>
        </m:oMathParaPr>
        <m:oMath>
          <m:sSub>
            <m:e>
              <m:r>
                <m:t>k</m:t>
              </m:r>
            </m:e>
            <m:sub>
              <m:r>
                <m:t>e</m:t>
              </m:r>
            </m:sub>
          </m:sSub>
          <m:r>
            <m:rPr>
              <m:sty m:val="p"/>
            </m:rPr>
            <m:t>=</m:t>
          </m:r>
          <m:f>
            <m:fPr>
              <m:type m:val="bar"/>
            </m:fPr>
            <m:num>
              <m:r>
                <m:t>2</m:t>
              </m:r>
              <m:r>
                <m:rPr>
                  <m:sty m:val="p"/>
                </m:rPr>
                <m:t>⋅</m:t>
              </m:r>
              <m:sSub>
                <m:e>
                  <m:r>
                    <m:t>K</m:t>
                  </m:r>
                </m:e>
                <m:sub>
                  <m:r>
                    <m:t>i</m:t>
                  </m:r>
                </m:sub>
              </m:sSub>
              <m:r>
                <m:rPr>
                  <m:sty m:val="p"/>
                </m:rPr>
                <m:t>⋅</m:t>
              </m:r>
              <m:sSub>
                <m:e>
                  <m:r>
                    <m:t>K</m:t>
                  </m:r>
                </m:e>
                <m:sub>
                  <m:r>
                    <m:t>i</m:t>
                  </m:r>
                  <m:r>
                    <m:rPr>
                      <m:sty m:val="p"/>
                    </m:rPr>
                    <m:t>+</m:t>
                  </m:r>
                  <m:r>
                    <m:t>1</m:t>
                  </m:r>
                </m:sub>
              </m:sSub>
            </m:num>
            <m:den>
              <m:d>
                <m:dPr>
                  <m:begChr m:val="("/>
                  <m:endChr m:val=")"/>
                  <m:sepChr m:val=""/>
                  <m:grow/>
                </m:dPr>
                <m:e>
                  <m:sSub>
                    <m:e>
                      <m:r>
                        <m:t>K</m:t>
                      </m:r>
                    </m:e>
                    <m:sub>
                      <m:r>
                        <m:t>i</m:t>
                      </m:r>
                    </m:sub>
                  </m:sSub>
                  <m:r>
                    <m:rPr>
                      <m:sty m:val="p"/>
                    </m:rPr>
                    <m:t>+</m:t>
                  </m:r>
                  <m:sSub>
                    <m:e>
                      <m:r>
                        <m:t>K</m:t>
                      </m:r>
                    </m:e>
                    <m:sub>
                      <m:r>
                        <m:t>i</m:t>
                      </m:r>
                      <m:r>
                        <m:rPr>
                          <m:sty m:val="p"/>
                        </m:rPr>
                        <m:t>+</m:t>
                      </m:r>
                      <m:r>
                        <m:t>1</m:t>
                      </m:r>
                    </m:sub>
                  </m:sSub>
                </m:e>
              </m:d>
            </m:den>
          </m:f>
        </m:oMath>
      </m:oMathPara>
    </w:p>
    <w:p>
      <w:pPr>
        <w:pStyle w:val="FirstParagraph"/>
      </w:pPr>
      <w:r>
        <w:t xml:space="preserve">Le terme source intégré sur le volume utilise la méthode des trapèzes (conformément au TD01 modifié) :</w:t>
      </w:r>
    </w:p>
    <w:p>
      <w:pPr>
        <w:pStyle w:val="BodyText"/>
      </w:pPr>
      <m:oMath>
        <m:sSub>
          <m:e>
            <m:r>
              <m:t>b</m:t>
            </m:r>
          </m:e>
          <m:sub>
            <m:r>
              <m:t>i</m:t>
            </m:r>
          </m:sub>
        </m:sSub>
        <m:r>
          <m:rPr>
            <m:sty m:val="p"/>
          </m:rPr>
          <m:t>=</m:t>
        </m:r>
        <m:sSub>
          <m:e>
            <m:r>
              <m:t>S</m:t>
            </m:r>
          </m:e>
          <m:sub>
            <m:r>
              <m:t>i</m:t>
            </m:r>
          </m:sub>
        </m:sSub>
        <m:r>
          <m:rPr>
            <m:sty m:val="p"/>
          </m:rPr>
          <m:t>⋅</m:t>
        </m:r>
        <m:r>
          <m:t>d</m:t>
        </m:r>
        <m:sSub>
          <m:e>
            <m:r>
              <m:t>x</m:t>
            </m:r>
          </m:e>
          <m:sub>
            <m:r>
              <m:t>i</m:t>
            </m:r>
          </m:sub>
        </m:sSub>
      </m:oMath>
      <w:r>
        <w:t xml:space="preserve"> </w:t>
      </w:r>
      <w:r>
        <w:t xml:space="preserve">(source uniforme par couche)</w:t>
      </w:r>
    </w:p>
    <w:bookmarkEnd w:id="26"/>
    <w:bookmarkStart w:id="27" w:name="résolution-tdma"/>
    <w:p>
      <w:pPr>
        <w:pStyle w:val="Heading2"/>
      </w:pPr>
      <w:r>
        <w:rPr>
          <w:rStyle w:val="SectionNumber"/>
        </w:rPr>
        <w:t xml:space="preserve">3.2</w:t>
      </w:r>
      <w:r>
        <w:tab/>
      </w:r>
      <w:r>
        <w:t xml:space="preserve">Résolution TDMA</w:t>
      </w:r>
    </w:p>
    <w:p>
      <w:pPr>
        <w:pStyle w:val="FirstParagraph"/>
      </w:pPr>
      <w:r>
        <w:t xml:space="preserve">Le système tridiagonal est résolu par l’algorithme de Thomas (TDMA), implémenté en</w:t>
      </w:r>
      <w:r>
        <w:t xml:space="preserve"> </w:t>
      </w:r>
      <w:r>
        <w:t xml:space="preserve">deux passes. La première passe (descente) calcule les facteurs de récurrence</w:t>
      </w:r>
      <w:r>
        <w:t xml:space="preserve"> </w:t>
      </w:r>
      <m:oMath>
        <m:sSub>
          <m:e>
            <m:r>
              <m:t>P</m:t>
            </m:r>
          </m:e>
          <m:sub>
            <m:r>
              <m:t>i</m:t>
            </m:r>
          </m:sub>
        </m:sSub>
      </m:oMath>
      <w:r>
        <w:t xml:space="preserve"> </w:t>
      </w:r>
      <w:r>
        <w:t xml:space="preserve">et</w:t>
      </w:r>
      <w:r>
        <w:t xml:space="preserve"> </w:t>
      </w:r>
      <m:oMath>
        <m:sSub>
          <m:e>
            <m:r>
              <m:t>Q</m:t>
            </m:r>
          </m:e>
          <m:sub>
            <m:r>
              <m:t>i</m:t>
            </m:r>
          </m:sub>
        </m:sSub>
      </m:oMath>
      <w:r>
        <w:t xml:space="preserve"> </w:t>
      </w:r>
      <w:r>
        <w:t xml:space="preserve">:</w:t>
      </w:r>
    </w:p>
    <w:p>
      <w:pPr>
        <w:pStyle w:val="BodyText"/>
      </w:pPr>
      <m:oMathPara>
        <m:oMathParaPr>
          <m:jc m:val="center"/>
        </m:oMathParaPr>
        <m:oMath>
          <m:sSub>
            <m:e>
              <m:r>
                <m:t>P</m:t>
              </m:r>
            </m:e>
            <m:sub>
              <m:r>
                <m:t>i</m:t>
              </m:r>
            </m:sub>
          </m:sSub>
          <m:r>
            <m:rPr>
              <m:sty m:val="p"/>
            </m:rPr>
            <m:t>=</m:t>
          </m:r>
          <m:f>
            <m:fPr>
              <m:type m:val="bar"/>
            </m:fPr>
            <m:num>
              <m:sSub>
                <m:e>
                  <m:r>
                    <m:t>a</m:t>
                  </m:r>
                </m:e>
                <m:sub>
                  <m:r>
                    <m:t>e</m:t>
                  </m:r>
                </m:sub>
              </m:sSub>
            </m:num>
            <m:den>
              <m:sSub>
                <m:e>
                  <m:r>
                    <m:t>a</m:t>
                  </m:r>
                </m:e>
                <m:sub>
                  <m:r>
                    <m:t>p</m:t>
                  </m:r>
                </m:sub>
              </m:sSub>
              <m:r>
                <m:rPr>
                  <m:sty m:val="p"/>
                </m:rPr>
                <m:t>−</m:t>
              </m:r>
              <m:sSub>
                <m:e>
                  <m:r>
                    <m:t>a</m:t>
                  </m:r>
                </m:e>
                <m:sub>
                  <m:r>
                    <m:t>w</m:t>
                  </m:r>
                </m:sub>
              </m:sSub>
              <m:r>
                <m:rPr>
                  <m:sty m:val="p"/>
                </m:rPr>
                <m:t>⋅</m:t>
              </m:r>
              <m:sSub>
                <m:e>
                  <m:r>
                    <m:t>P</m:t>
                  </m:r>
                </m:e>
                <m:sub>
                  <m:r>
                    <m:t>i</m:t>
                  </m:r>
                  <m:r>
                    <m:rPr>
                      <m:sty m:val="p"/>
                    </m:rPr>
                    <m:t>−</m:t>
                  </m:r>
                  <m:r>
                    <m:t>1</m:t>
                  </m:r>
                </m:sub>
              </m:sSub>
            </m:den>
          </m:f>
          <m:r>
            <m:t>  </m:t>
          </m:r>
          <m:sSub>
            <m:e>
              <m:r>
                <m:t>Q</m:t>
              </m:r>
            </m:e>
            <m:sub>
              <m:r>
                <m:t>i</m:t>
              </m:r>
            </m:sub>
          </m:sSub>
          <m:r>
            <m:rPr>
              <m:sty m:val="p"/>
            </m:rPr>
            <m:t>=</m:t>
          </m:r>
          <m:f>
            <m:fPr>
              <m:type m:val="bar"/>
            </m:fPr>
            <m:num>
              <m:sSub>
                <m:e>
                  <m:r>
                    <m:t>b</m:t>
                  </m:r>
                </m:e>
                <m:sub>
                  <m:r>
                    <m:t>i</m:t>
                  </m:r>
                </m:sub>
              </m:sSub>
              <m:r>
                <m:rPr>
                  <m:sty m:val="p"/>
                </m:rPr>
                <m:t>+</m:t>
              </m:r>
              <m:sSub>
                <m:e>
                  <m:r>
                    <m:t>a</m:t>
                  </m:r>
                </m:e>
                <m:sub>
                  <m:r>
                    <m:t>w</m:t>
                  </m:r>
                </m:sub>
              </m:sSub>
              <m:r>
                <m:rPr>
                  <m:sty m:val="p"/>
                </m:rPr>
                <m:t>⋅</m:t>
              </m:r>
              <m:sSub>
                <m:e>
                  <m:r>
                    <m:t>Q</m:t>
                  </m:r>
                </m:e>
                <m:sub>
                  <m:r>
                    <m:t>i</m:t>
                  </m:r>
                  <m:r>
                    <m:rPr>
                      <m:sty m:val="p"/>
                    </m:rPr>
                    <m:t>−</m:t>
                  </m:r>
                  <m:r>
                    <m:t>1</m:t>
                  </m:r>
                </m:sub>
              </m:sSub>
            </m:num>
            <m:den>
              <m:sSub>
                <m:e>
                  <m:r>
                    <m:t>a</m:t>
                  </m:r>
                </m:e>
                <m:sub>
                  <m:r>
                    <m:t>p</m:t>
                  </m:r>
                </m:sub>
              </m:sSub>
              <m:r>
                <m:rPr>
                  <m:sty m:val="p"/>
                </m:rPr>
                <m:t>−</m:t>
              </m:r>
              <m:sSub>
                <m:e>
                  <m:r>
                    <m:t>a</m:t>
                  </m:r>
                </m:e>
                <m:sub>
                  <m:r>
                    <m:t>w</m:t>
                  </m:r>
                </m:sub>
              </m:sSub>
              <m:r>
                <m:rPr>
                  <m:sty m:val="p"/>
                </m:rPr>
                <m:t>⋅</m:t>
              </m:r>
              <m:sSub>
                <m:e>
                  <m:r>
                    <m:t>P</m:t>
                  </m:r>
                </m:e>
                <m:sub>
                  <m:r>
                    <m:t>i</m:t>
                  </m:r>
                  <m:r>
                    <m:rPr>
                      <m:sty m:val="p"/>
                    </m:rPr>
                    <m:t>−</m:t>
                  </m:r>
                  <m:r>
                    <m:t>1</m:t>
                  </m:r>
                </m:sub>
              </m:sSub>
            </m:den>
          </m:f>
        </m:oMath>
      </m:oMathPara>
    </w:p>
    <w:p>
      <w:pPr>
        <w:pStyle w:val="FirstParagraph"/>
      </w:pPr>
      <w:r>
        <w:t xml:space="preserve">La seconde passe (remontée) reconstruit le profil de température :</w:t>
      </w:r>
    </w:p>
    <w:p>
      <w:pPr>
        <w:pStyle w:val="BodyText"/>
      </w:pPr>
      <m:oMathPara>
        <m:oMathParaPr>
          <m:jc m:val="center"/>
        </m:oMathParaPr>
        <m:oMath>
          <m:sSub>
            <m:e>
              <m:r>
                <m:t>T</m:t>
              </m:r>
            </m:e>
            <m:sub>
              <m:r>
                <m:t>i</m:t>
              </m:r>
            </m:sub>
          </m:sSub>
          <m:r>
            <m:rPr>
              <m:sty m:val="p"/>
            </m:rPr>
            <m:t>=</m:t>
          </m:r>
          <m:sSub>
            <m:e>
              <m:r>
                <m:t>P</m:t>
              </m:r>
            </m:e>
            <m:sub>
              <m:r>
                <m:t>i</m:t>
              </m:r>
            </m:sub>
          </m:sSub>
          <m:r>
            <m:rPr>
              <m:sty m:val="p"/>
            </m:rPr>
            <m:t>⋅</m:t>
          </m:r>
          <m:sSub>
            <m:e>
              <m:r>
                <m:t>T</m:t>
              </m:r>
            </m:e>
            <m:sub>
              <m:r>
                <m:t>i</m:t>
              </m:r>
              <m:r>
                <m:rPr>
                  <m:sty m:val="p"/>
                </m:rPr>
                <m:t>+</m:t>
              </m:r>
              <m:r>
                <m:t>1</m:t>
              </m:r>
            </m:sub>
          </m:sSub>
          <m:r>
            <m:rPr>
              <m:sty m:val="p"/>
            </m:rPr>
            <m:t>+</m:t>
          </m:r>
          <m:sSub>
            <m:e>
              <m:r>
                <m:t>Q</m:t>
              </m:r>
            </m:e>
            <m:sub>
              <m:r>
                <m:t>i</m:t>
              </m:r>
            </m:sub>
          </m:sSub>
        </m:oMath>
      </m:oMathPara>
    </w:p>
    <w:p>
      <w:pPr>
        <w:pStyle w:val="FirstParagraph"/>
      </w:pPr>
      <w:r>
        <w:t xml:space="preserve">La robustesse est assurée par un test de pivot nul (seuil</w:t>
      </w:r>
      <w:r>
        <w:t xml:space="preserve"> </w:t>
      </w:r>
      <m:oMath>
        <m:sSup>
          <m:e>
            <m:r>
              <m:t>10</m:t>
            </m:r>
          </m:e>
          <m:sup>
            <m:r>
              <m:rPr>
                <m:sty m:val="p"/>
              </m:rPr>
              <m:t>−</m:t>
            </m:r>
            <m:r>
              <m:t>12</m:t>
            </m:r>
          </m:sup>
        </m:sSup>
      </m:oMath>
      <w:r>
        <w:t xml:space="preserve">).</w:t>
      </w:r>
    </w:p>
    <w:p>
      <w:pPr>
        <w:pStyle w:val="BodyText"/>
      </w:pPr>
      <w:r>
        <w:t xml:space="preserve">La discrétisation des conditions aux limites de convection s’écrit pour le nœud de bord :</w:t>
      </w:r>
    </w:p>
    <w:p>
      <w:pPr>
        <w:pStyle w:val="BodyText"/>
      </w:pPr>
      <m:oMathPara>
        <m:oMathParaPr>
          <m:jc m:val="center"/>
        </m:oMathParaPr>
        <m:oMath>
          <m:sSub>
            <m:e>
              <m:r>
                <m:t>a</m:t>
              </m:r>
            </m:e>
            <m:sub>
              <m:r>
                <m:t>p</m:t>
              </m:r>
            </m:sub>
          </m:sSub>
          <m:r>
            <m:rPr>
              <m:sty m:val="p"/>
            </m:rPr>
            <m:t>=</m:t>
          </m:r>
          <m:sSub>
            <m:e>
              <m:r>
                <m:t>a</m:t>
              </m:r>
            </m:e>
            <m:sub>
              <m:r>
                <m:t>e</m:t>
              </m:r>
            </m:sub>
          </m:sSub>
          <m:r>
            <m:rPr>
              <m:sty m:val="p"/>
            </m:rPr>
            <m:t>+</m:t>
          </m:r>
          <m:r>
            <m:t>h</m:t>
          </m:r>
          <m:r>
            <m:t>  </m:t>
          </m:r>
          <m:sSub>
            <m:e>
              <m:r>
                <m:t>b</m:t>
              </m:r>
            </m:e>
            <m:sub>
              <m:r>
                <m:t>1</m:t>
              </m:r>
            </m:sub>
          </m:sSub>
          <m:r>
            <m:rPr>
              <m:sty m:val="p"/>
            </m:rPr>
            <m:t>=</m:t>
          </m:r>
          <m:sSub>
            <m:e>
              <m:r>
                <m:t>S</m:t>
              </m:r>
            </m:e>
            <m:sub>
              <m:r>
                <m:t>1</m:t>
              </m:r>
            </m:sub>
          </m:sSub>
          <m:r>
            <m:rPr>
              <m:sty m:val="p"/>
            </m:rPr>
            <m:t>⋅</m:t>
          </m:r>
          <m:r>
            <m:t>d</m:t>
          </m:r>
          <m:sSub>
            <m:e>
              <m:r>
                <m:t>x</m:t>
              </m:r>
            </m:e>
            <m:sub>
              <m:r>
                <m:t>1</m:t>
              </m:r>
            </m:sub>
          </m:sSub>
          <m:r>
            <m:rPr>
              <m:sty m:val="p"/>
            </m:rPr>
            <m:t>+</m:t>
          </m:r>
          <m:r>
            <m:t>h</m:t>
          </m:r>
          <m:r>
            <m:rPr>
              <m:sty m:val="p"/>
            </m:rPr>
            <m:t>⋅</m:t>
          </m:r>
          <m:sSub>
            <m:e>
              <m:r>
                <m:t>T</m:t>
              </m:r>
            </m:e>
            <m:sub>
              <m:r>
                <m:rPr>
                  <m:nor/>
                  <m:sty m:val="p"/>
                </m:rPr>
                <m:t>fluide</m:t>
              </m:r>
            </m:sub>
          </m:sSub>
        </m:oMath>
      </m:oMathPara>
    </w:p>
    <w:bookmarkEnd w:id="27"/>
    <w:bookmarkStart w:id="28" w:name="maillage-multicouche"/>
    <w:p>
      <w:pPr>
        <w:pStyle w:val="Heading2"/>
      </w:pPr>
      <w:r>
        <w:rPr>
          <w:rStyle w:val="SectionNumber"/>
        </w:rPr>
        <w:t xml:space="preserve">3.3</w:t>
      </w:r>
      <w:r>
        <w:tab/>
      </w:r>
      <w:r>
        <w:t xml:space="preserve">Maillage multicouche</w:t>
      </w:r>
    </w:p>
    <w:p>
      <w:pPr>
        <w:pStyle w:val="FirstParagraph"/>
      </w:pPr>
      <w:r>
        <w:t xml:space="preserve">Le nombre de volumes par couche est réparti proportionnellement à l’épaisseur de chaque couche, avec un minimum de 1 volume par couche. Par exemple, pour N = 100 volumes au total, la répartition obtenue est :</w:t>
      </w:r>
    </w:p>
    <w:bookmarkEnd w:id="28"/>
    <w:bookmarkEnd w:id="29"/>
    <w:bookmarkStart w:id="32" w:name="Xa9171f51f6b797d4b48125eddfc9fc084c36a18"/>
    <w:p>
      <w:pPr>
        <w:pStyle w:val="Heading1"/>
      </w:pPr>
      <w:r>
        <w:rPr>
          <w:rStyle w:val="SectionNumber"/>
        </w:rPr>
        <w:t xml:space="preserve">4</w:t>
      </w:r>
      <w:r>
        <w:tab/>
      </w:r>
      <w:r>
        <w:t xml:space="preserve">Objectif 1 — Cellule multicouche : résultats et validation</w:t>
      </w:r>
    </w:p>
    <w:bookmarkStart w:id="30" w:name="profil-de-température-de-la-cellule"/>
    <w:p>
      <w:pPr>
        <w:pStyle w:val="Heading2"/>
      </w:pPr>
      <w:r>
        <w:rPr>
          <w:rStyle w:val="SectionNumber"/>
        </w:rPr>
        <w:t xml:space="preserve">4.1</w:t>
      </w:r>
      <w:r>
        <w:tab/>
      </w:r>
      <w:r>
        <w:t xml:space="preserve">Profil de température de la cellule</w:t>
      </w:r>
    </w:p>
    <w:p>
      <w:pPr>
        <w:pStyle w:val="FirstParagraph"/>
      </w:pPr>
      <w:r>
        <w:t xml:space="preserve">Les profils de température obtenus</w:t>
      </w:r>
      <w:r>
        <w:t xml:space="preserve"> </w:t>
      </w:r>
      <w:r>
        <w:rPr>
          <w:bCs/>
          <w:b/>
        </w:rPr>
        <w:t xml:space="preserve">sans source interne</w:t>
      </w:r>
      <w:r>
        <w:t xml:space="preserve"> </w:t>
      </w:r>
      <w:r>
        <w:t xml:space="preserve">sont tracés afin de valider l’hypothèse de linéarité de la température dans chaque couche. Le nombre d’échantillons n ne change pas les valeurs des températures mais permet un maillage plus fin du domaine.</w:t>
      </w:r>
    </w:p>
    <w:p>
      <w:pPr>
        <w:pStyle w:val="BodyText"/>
      </w:pPr>
      <w:r>
        <w:t xml:space="preserve">Nous obtenons ainsi un profil de température linéaire dans chaque couche de la cellule, avec pour valeurs aux limites suivantes :</w:t>
      </w:r>
    </w:p>
    <w:p>
      <w:pPr>
        <w:pStyle w:val="BodyText"/>
      </w:pPr>
      <w:r>
        <w:t xml:space="preserve">En ajoutant</w:t>
      </w:r>
      <w:r>
        <w:t xml:space="preserve"> </w:t>
      </w:r>
      <w:r>
        <w:rPr>
          <w:bCs/>
          <w:b/>
        </w:rPr>
        <w:t xml:space="preserve">une source interne</w:t>
      </w:r>
      <w:r>
        <w:t xml:space="preserve">, le profil de température à l’intérieur de chaque couche devient parabolique</w:t>
      </w:r>
    </w:p>
    <w:p>
      <w:pPr>
        <w:pStyle w:val="BodyText"/>
      </w:pPr>
      <w:r>
        <w:rPr>
          <w:bCs/>
          <w:b/>
        </w:rPr>
        <w:t xml:space="preserve">Analyse :</w:t>
      </w:r>
      <w:r>
        <w:t xml:space="preserve"> </w:t>
      </w:r>
      <w:r>
        <w:t xml:space="preserve">Le gradient de température dans une cellule individuelle est extrêmement faible en raison de la très faible épaisseur de la cellule (250</w:t>
      </w:r>
      <w:r>
        <w:t xml:space="preserve"> </w:t>
      </w:r>
      <m:oMath>
        <m:r>
          <m:t>μ</m:t>
        </m:r>
        <m:r>
          <m:t>m</m:t>
        </m:r>
      </m:oMath>
      <w:r>
        <w:t xml:space="preserve">) et de sa conductivité relativement élevée. C’est la résistance convective de surface qui contrôle l’écart</w:t>
      </w:r>
      <w:r>
        <w:t xml:space="preserve"> </w:t>
      </w:r>
      <m:oMath>
        <m:sSub>
          <m:e>
            <m:r>
              <m:t>T</m:t>
            </m:r>
          </m:e>
          <m:sub>
            <m:r>
              <m:t>m</m:t>
            </m:r>
            <m:r>
              <m:t>a</m:t>
            </m:r>
            <m:r>
              <m:t>x</m:t>
            </m:r>
          </m:sub>
        </m:sSub>
        <m:r>
          <m:rPr>
            <m:sty m:val="p"/>
          </m:rPr>
          <m:t>−</m:t>
        </m:r>
        <m:sSub>
          <m:e>
            <m:r>
              <m:t>T</m:t>
            </m:r>
          </m:e>
          <m:sub>
            <m:r>
              <m:t>f</m:t>
            </m:r>
            <m:r>
              <m:t>l</m:t>
            </m:r>
            <m:r>
              <m:t>u</m:t>
            </m:r>
            <m:r>
              <m:t>i</m:t>
            </m:r>
            <m:r>
              <m:t>d</m:t>
            </m:r>
            <m:r>
              <m:t>e</m:t>
            </m:r>
          </m:sub>
        </m:sSub>
      </m:oMath>
      <w:r>
        <w:t xml:space="preserve">. Avec</w:t>
      </w:r>
      <w:r>
        <w:t xml:space="preserve"> </w:t>
      </w:r>
      <m:oMath>
        <m:r>
          <m:t>h</m:t>
        </m:r>
        <m:r>
          <m:rPr>
            <m:sty m:val="p"/>
          </m:rPr>
          <m:t>=</m:t>
        </m:r>
        <m:r>
          <m:t>10</m:t>
        </m:r>
        <m:r>
          <m:t>W</m:t>
        </m:r>
        <m:r>
          <m:rPr>
            <m:sty m:val="p"/>
          </m:rPr>
          <m:t>/</m:t>
        </m:r>
        <m:sSup>
          <m:e>
            <m:r>
              <m:t>m</m:t>
            </m:r>
          </m:e>
          <m:sup>
            <m:r>
              <m:t>2</m:t>
            </m:r>
          </m:sup>
        </m:sSup>
        <m:r>
          <m:t>K</m:t>
        </m:r>
      </m:oMath>
      <w:r>
        <w:t xml:space="preserve">, même en charge rapide, la cellule reste en dessous des seuils de sécurité grâce à la faible puissance volumique d’une cellule seule.</w:t>
      </w:r>
    </w:p>
    <w:bookmarkEnd w:id="30"/>
    <w:bookmarkStart w:id="31" w:name="X9ac1c20eb9676a46b496c4b0e07751ab65cdba9"/>
    <w:p>
      <w:pPr>
        <w:pStyle w:val="Heading2"/>
      </w:pPr>
      <w:r>
        <w:rPr>
          <w:rStyle w:val="SectionNumber"/>
        </w:rPr>
        <w:t xml:space="preserve">4.2</w:t>
      </w:r>
      <w:r>
        <w:tab/>
      </w:r>
      <w:r>
        <w:t xml:space="preserve">Comparaison solution numérique / solution analytique</w:t>
      </w:r>
    </w:p>
    <w:p>
      <w:pPr>
        <w:pStyle w:val="FirstParagraph"/>
      </w:pPr>
      <w:r>
        <w:rPr>
          <w:bCs/>
          <w:b/>
        </w:rPr>
        <w:t xml:space="preserve">Pour un milieu homogène sans source interne, le profil de température est sous la forme :</w:t>
      </w:r>
    </w:p>
    <w:p>
      <w:pPr>
        <w:pStyle w:val="BodyText"/>
      </w:pPr>
      <m:oMathPara>
        <m:oMathParaPr>
          <m:jc m:val="center"/>
        </m:oMathParaPr>
        <m:oMath>
          <m:r>
            <m:t>T</m:t>
          </m:r>
          <m:d>
            <m:dPr>
              <m:begChr m:val="("/>
              <m:endChr m:val=")"/>
              <m:sepChr m:val=""/>
              <m:grow/>
            </m:dPr>
            <m:e>
              <m:r>
                <m:t>x</m:t>
              </m:r>
            </m:e>
          </m:d>
          <m:r>
            <m:rPr>
              <m:sty m:val="p"/>
            </m:rPr>
            <m:t>=</m:t>
          </m:r>
          <m:f>
            <m:fPr>
              <m:type m:val="bar"/>
            </m:fPr>
            <m:num>
              <m:sSub>
                <m:e>
                  <m:r>
                    <m:t>T</m:t>
                  </m:r>
                </m:e>
                <m:sub>
                  <m:r>
                    <m:t>E</m:t>
                  </m:r>
                  <m:r>
                    <m:t>s</m:t>
                  </m:r>
                  <m:r>
                    <m:t>t</m:t>
                  </m:r>
                </m:sub>
              </m:sSub>
              <m:r>
                <m:rPr>
                  <m:sty m:val="p"/>
                </m:rPr>
                <m:t>−</m:t>
              </m:r>
              <m:sSub>
                <m:e>
                  <m:r>
                    <m:t>T</m:t>
                  </m:r>
                </m:e>
                <m:sub>
                  <m:r>
                    <m:t>O</m:t>
                  </m:r>
                  <m:r>
                    <m:t>u</m:t>
                  </m:r>
                  <m:r>
                    <m:t>e</m:t>
                  </m:r>
                  <m:r>
                    <m:t>s</m:t>
                  </m:r>
                  <m:r>
                    <m:t>t</m:t>
                  </m:r>
                </m:sub>
              </m:sSub>
            </m:num>
            <m:den>
              <m:sSub>
                <m:e>
                  <m:r>
                    <m:t>e</m:t>
                  </m:r>
                </m:e>
                <m:sub>
                  <m:r>
                    <m:t>m</m:t>
                  </m:r>
                  <m:r>
                    <m:t>i</m:t>
                  </m:r>
                  <m:r>
                    <m:t>l</m:t>
                  </m:r>
                  <m:r>
                    <m:t>i</m:t>
                  </m:r>
                  <m:r>
                    <m:t>e</m:t>
                  </m:r>
                  <m:r>
                    <m:t>u</m:t>
                  </m:r>
                </m:sub>
              </m:sSub>
            </m:den>
          </m:f>
          <m:r>
            <m:rPr>
              <m:sty m:val="p"/>
            </m:rPr>
            <m:t>⋅</m:t>
          </m:r>
          <m:r>
            <m:t>x</m:t>
          </m:r>
          <m:r>
            <m:rPr>
              <m:sty m:val="p"/>
            </m:rPr>
            <m:t>+</m:t>
          </m:r>
          <m:sSub>
            <m:e>
              <m:r>
                <m:t>T</m:t>
              </m:r>
            </m:e>
            <m:sub>
              <m:r>
                <m:t>O</m:t>
              </m:r>
              <m:r>
                <m:t>u</m:t>
              </m:r>
              <m:r>
                <m:t>e</m:t>
              </m:r>
              <m:r>
                <m:t>s</m:t>
              </m:r>
              <m:r>
                <m:t>t</m:t>
              </m:r>
            </m:sub>
          </m:sSub>
        </m:oMath>
      </m:oMathPara>
    </w:p>
    <w:p>
      <w:pPr>
        <w:pStyle w:val="FirstParagraph"/>
      </w:pPr>
    </w:p>
    <w:p>
      <w:pPr>
        <w:pStyle w:val="BodyText"/>
      </w:pPr>
      <w:r>
        <w:t xml:space="preserve">En régime permanent sans source interne, la loi de Fourier impose un flux constant</w:t>
      </w:r>
      <w:r>
        <w:t xml:space="preserve"> </w:t>
      </w:r>
      <w:r>
        <w:t xml:space="preserve">dans tout le domaine :</w:t>
      </w:r>
    </w:p>
    <w:p>
      <w:pPr>
        <w:pStyle w:val="BodyText"/>
      </w:pPr>
      <m:oMathPara>
        <m:oMathParaPr>
          <m:jc m:val="center"/>
        </m:oMathParaPr>
        <m:oMath>
          <m:r>
            <m:t>φ</m:t>
          </m:r>
          <m:r>
            <m:rPr>
              <m:sty m:val="p"/>
            </m:rPr>
            <m:t>=</m:t>
          </m:r>
          <m:r>
            <m:rPr>
              <m:sty m:val="p"/>
            </m:rPr>
            <m:t>−</m:t>
          </m:r>
          <m:sSub>
            <m:e>
              <m:r>
                <m:t>λ</m:t>
              </m:r>
            </m:e>
            <m:sub>
              <m:r>
                <m:t>j</m:t>
              </m:r>
            </m:sub>
          </m:sSub>
          <m:r>
            <m:rPr>
              <m:sty m:val="p"/>
            </m:rPr>
            <m:t>⋅</m:t>
          </m:r>
          <m:f>
            <m:fPr>
              <m:type m:val="bar"/>
            </m:fPr>
            <m:num>
              <m:r>
                <m:t>Δ</m:t>
              </m:r>
              <m:sSub>
                <m:e>
                  <m:r>
                    <m:t>T</m:t>
                  </m:r>
                </m:e>
                <m:sub>
                  <m:r>
                    <m:t>j</m:t>
                  </m:r>
                </m:sub>
              </m:sSub>
            </m:num>
            <m:den>
              <m:sSub>
                <m:e>
                  <m:r>
                    <m:t>e</m:t>
                  </m:r>
                </m:e>
                <m:sub>
                  <m:r>
                    <m:t>j</m:t>
                  </m:r>
                </m:sub>
              </m:sSub>
            </m:den>
          </m:f>
          <m:r>
            <m:rPr>
              <m:sty m:val="p"/>
            </m:rPr>
            <m:t>=</m:t>
          </m:r>
          <m:r>
            <m:rPr>
              <m:nor/>
              <m:sty m:val="p"/>
            </m:rPr>
            <m:t>cste</m:t>
          </m:r>
        </m:oMath>
      </m:oMathPara>
    </w:p>
    <w:p>
      <w:pPr>
        <w:pStyle w:val="FirstParagraph"/>
      </w:pPr>
      <w:r>
        <w:t xml:space="preserve">Le flux traversant la cellule est extrait depuis la face Ouest :</w:t>
      </w:r>
    </w:p>
    <w:p>
      <w:pPr>
        <w:pStyle w:val="BodyText"/>
      </w:pPr>
      <m:oMathPara>
        <m:oMathParaPr>
          <m:jc m:val="center"/>
        </m:oMathParaPr>
        <m:oMath>
          <m:r>
            <m:t>φ</m:t>
          </m:r>
          <m:r>
            <m:rPr>
              <m:sty m:val="p"/>
            </m:rPr>
            <m:t>=</m:t>
          </m:r>
          <m:r>
            <m:t>h</m:t>
          </m:r>
          <m:r>
            <m:rPr>
              <m:sty m:val="p"/>
            </m:rPr>
            <m:t>⋅</m:t>
          </m:r>
          <m:d>
            <m:dPr>
              <m:begChr m:val="("/>
              <m:endChr m:val=")"/>
              <m:sepChr m:val=""/>
              <m:grow/>
            </m:dPr>
            <m:e>
              <m:r>
                <m:t>T</m:t>
              </m:r>
              <m:d>
                <m:dPr>
                  <m:begChr m:val="("/>
                  <m:endChr m:val=")"/>
                  <m:sepChr m:val=""/>
                  <m:grow/>
                </m:dPr>
                <m:e>
                  <m:r>
                    <m:t>0</m:t>
                  </m:r>
                </m:e>
              </m:d>
              <m:r>
                <m:rPr>
                  <m:sty m:val="p"/>
                </m:rPr>
                <m:t>−</m:t>
              </m:r>
              <m:sSub>
                <m:e>
                  <m:r>
                    <m:t>T</m:t>
                  </m:r>
                </m:e>
                <m:sub>
                  <m:r>
                    <m:t>e</m:t>
                  </m:r>
                  <m:r>
                    <m:t>x</m:t>
                  </m:r>
                  <m:r>
                    <m:t>t</m:t>
                  </m:r>
                  <m:r>
                    <m:rPr>
                      <m:sty m:val="p"/>
                    </m:rPr>
                    <m:t>,</m:t>
                  </m:r>
                  <m:r>
                    <m:t>O</m:t>
                  </m:r>
                </m:sub>
              </m:sSub>
            </m:e>
          </m:d>
          <m:r>
            <m:rPr>
              <m:sty m:val="p"/>
            </m:rPr>
            <m:t>=</m:t>
          </m:r>
          <m:r>
            <m:t>10</m:t>
          </m:r>
          <m:r>
            <m:rPr>
              <m:sty m:val="p"/>
            </m:rPr>
            <m:t>⋅</m:t>
          </m:r>
          <m:d>
            <m:dPr>
              <m:begChr m:val="("/>
              <m:endChr m:val=")"/>
              <m:sepChr m:val=""/>
              <m:grow/>
            </m:dPr>
            <m:e>
              <m:r>
                <m:t>45</m:t>
              </m:r>
              <m:r>
                <m:rPr>
                  <m:sty m:val="p"/>
                </m:rPr>
                <m:t>,</m:t>
              </m:r>
              <m:r>
                <m:t>024</m:t>
              </m:r>
              <m:r>
                <m:rPr>
                  <m:sty m:val="p"/>
                </m:rPr>
                <m:t>−</m:t>
              </m:r>
              <m:r>
                <m:t>40</m:t>
              </m:r>
            </m:e>
          </m:d>
          <m:r>
            <m:rPr>
              <m:sty m:val="p"/>
            </m:rPr>
            <m:t>=</m:t>
          </m:r>
          <m:r>
            <m:t>50</m:t>
          </m:r>
          <m:r>
            <m:rPr>
              <m:sty m:val="p"/>
            </m:rPr>
            <m:t>,</m:t>
          </m:r>
          <m:r>
            <m:t>24</m:t>
          </m:r>
          <m:r>
            <m:t> </m:t>
          </m:r>
          <m:r>
            <m:t>W</m:t>
          </m:r>
          <m:r>
            <m:rPr>
              <m:sty m:val="p"/>
            </m:rPr>
            <m:t>/</m:t>
          </m:r>
          <m:sSup>
            <m:e>
              <m:r>
                <m:t>m</m:t>
              </m:r>
            </m:e>
            <m:sup>
              <m:r>
                <m:t>2</m:t>
              </m:r>
            </m:sup>
          </m:sSup>
        </m:oMath>
      </m:oMathPara>
    </w:p>
    <w:p>
      <w:pPr>
        <w:pStyle w:val="FirstParagraph"/>
      </w:pPr>
    </w:p>
    <w:p>
      <w:pPr>
        <w:pStyle w:val="BodyText"/>
      </w:pPr>
      <w:r>
        <w:t xml:space="preserve">La chute de température attendue analytiquement sur cette couche vaut :</w:t>
      </w:r>
    </w:p>
    <w:p>
      <w:pPr>
        <w:pStyle w:val="BodyText"/>
      </w:pPr>
      <m:oMathPara>
        <m:oMathParaPr>
          <m:jc m:val="center"/>
        </m:oMathParaPr>
        <m:oMath>
          <m:r>
            <m:t>Δ</m:t>
          </m:r>
          <m:sSubSup>
            <m:e>
              <m:r>
                <m:t>T</m:t>
              </m:r>
            </m:e>
            <m:sub>
              <m:r>
                <m:t>N</m:t>
              </m:r>
              <m:r>
                <m:t>M</m:t>
              </m:r>
              <m:r>
                <m:t>C</m:t>
              </m:r>
            </m:sub>
            <m:sup>
              <m:r>
                <m:t>a</m:t>
              </m:r>
              <m:r>
                <m:t>n</m:t>
              </m:r>
              <m:r>
                <m:t>a</m:t>
              </m:r>
              <m:r>
                <m:t>l</m:t>
              </m:r>
              <m:r>
                <m:t>y</m:t>
              </m:r>
              <m:r>
                <m:t>t</m:t>
              </m:r>
              <m:r>
                <m:t>i</m:t>
              </m:r>
              <m:r>
                <m:t>q</m:t>
              </m:r>
              <m:r>
                <m:t>u</m:t>
              </m:r>
              <m:r>
                <m:t>e</m:t>
              </m:r>
            </m:sup>
          </m:sSubSup>
          <m:r>
            <m:rPr>
              <m:sty m:val="p"/>
            </m:rPr>
            <m:t>=</m:t>
          </m:r>
          <m:r>
            <m:rPr>
              <m:sty m:val="p"/>
            </m:rPr>
            <m:t>−</m:t>
          </m:r>
          <m:f>
            <m:fPr>
              <m:type m:val="bar"/>
            </m:fPr>
            <m:num>
              <m:r>
                <m:t>φ</m:t>
              </m:r>
              <m:r>
                <m:rPr>
                  <m:sty m:val="p"/>
                </m:rPr>
                <m:t>⋅</m:t>
              </m:r>
              <m:sSub>
                <m:e>
                  <m:r>
                    <m:t>e</m:t>
                  </m:r>
                </m:e>
                <m:sub>
                  <m:r>
                    <m:t>N</m:t>
                  </m:r>
                  <m:r>
                    <m:t>M</m:t>
                  </m:r>
                  <m:r>
                    <m:t>C</m:t>
                  </m:r>
                </m:sub>
              </m:sSub>
            </m:num>
            <m:den>
              <m:sSub>
                <m:e>
                  <m:r>
                    <m:t>λ</m:t>
                  </m:r>
                </m:e>
                <m:sub>
                  <m:r>
                    <m:t>N</m:t>
                  </m:r>
                  <m:r>
                    <m:t>M</m:t>
                  </m:r>
                  <m:r>
                    <m:t>C</m:t>
                  </m:r>
                </m:sub>
              </m:sSub>
            </m:den>
          </m:f>
          <m:r>
            <m:rPr>
              <m:sty m:val="p"/>
            </m:rPr>
            <m:t>=</m:t>
          </m:r>
          <m:r>
            <m:rPr>
              <m:sty m:val="p"/>
            </m:rPr>
            <m:t>−</m:t>
          </m:r>
          <m:f>
            <m:fPr>
              <m:type m:val="bar"/>
            </m:fPr>
            <m:num>
              <m:r>
                <m:t>50</m:t>
              </m:r>
              <m:r>
                <m:rPr>
                  <m:sty m:val="p"/>
                </m:rPr>
                <m:t>,</m:t>
              </m:r>
              <m:r>
                <m:t>24</m:t>
              </m:r>
              <m:r>
                <m:rPr>
                  <m:sty m:val="p"/>
                </m:rPr>
                <m:t>×</m:t>
              </m:r>
              <m:r>
                <m:t>100</m:t>
              </m:r>
              <m:r>
                <m:rPr>
                  <m:sty m:val="p"/>
                </m:rPr>
                <m:t>×</m:t>
              </m:r>
              <m:sSup>
                <m:e>
                  <m:r>
                    <m:t>10</m:t>
                  </m:r>
                </m:e>
                <m:sup>
                  <m:r>
                    <m:rPr>
                      <m:sty m:val="p"/>
                    </m:rPr>
                    <m:t>−</m:t>
                  </m:r>
                  <m:r>
                    <m:t>6</m:t>
                  </m:r>
                </m:sup>
              </m:sSup>
            </m:num>
            <m:den>
              <m:r>
                <m:t>1</m:t>
              </m:r>
              <m:r>
                <m:rPr>
                  <m:sty m:val="p"/>
                </m:rPr>
                <m:t>,</m:t>
              </m:r>
              <m:r>
                <m:t>58</m:t>
              </m:r>
            </m:den>
          </m:f>
          <m:r>
            <m:rPr>
              <m:sty m:val="p"/>
            </m:rPr>
            <m:t>=</m:t>
          </m:r>
          <m:r>
            <m:rPr>
              <m:sty m:val="p"/>
            </m:rPr>
            <m:t>−</m:t>
          </m:r>
          <m:r>
            <m:t>3</m:t>
          </m:r>
          <m:r>
            <m:rPr>
              <m:sty m:val="p"/>
            </m:rPr>
            <m:t>,</m:t>
          </m:r>
          <m:r>
            <m:t>18</m:t>
          </m:r>
          <m:r>
            <m:rPr>
              <m:sty m:val="p"/>
            </m:rPr>
            <m:t>×</m:t>
          </m:r>
          <m:sSup>
            <m:e>
              <m:r>
                <m:t>10</m:t>
              </m:r>
            </m:e>
            <m:sup>
              <m:r>
                <m:rPr>
                  <m:sty m:val="p"/>
                </m:rPr>
                <m:t>−</m:t>
              </m:r>
              <m:r>
                <m:t>3</m:t>
              </m:r>
            </m:sup>
          </m:sSup>
          <m:r>
            <m:rPr>
              <m:nor/>
              <m:sty m:val="p"/>
            </m:rPr>
            <m:t>°C</m:t>
          </m:r>
        </m:oMath>
      </m:oMathPara>
    </w:p>
    <w:p>
      <w:pPr>
        <w:pStyle w:val="FirstParagraph"/>
      </w:pPr>
      <w:r>
        <w:rPr>
          <w:iCs/>
          <w:i/>
        </w:rPr>
        <w:t xml:space="preserve">Le signe négatif de</w:t>
      </w:r>
      <w:r>
        <w:rPr>
          <w:iCs/>
          <w:i/>
        </w:rPr>
        <w:t xml:space="preserve"> </w:t>
      </w:r>
      <m:oMath>
        <m:r>
          <m:t>Δ</m:t>
        </m:r>
        <m:sSup>
          <m:e>
            <m:r>
              <m:t>T</m:t>
            </m:r>
          </m:e>
          <m:sup>
            <m:r>
              <m:rPr>
                <m:nor/>
                <m:sty m:val="p"/>
              </m:rPr>
              <m:t>analytique</m:t>
            </m:r>
          </m:sup>
        </m:sSup>
      </m:oMath>
      <w:r>
        <w:rPr>
          <w:iCs/>
          <w:i/>
        </w:rPr>
        <w:t xml:space="preserve"> </w:t>
      </w:r>
      <w:r>
        <w:rPr>
          <w:iCs/>
          <w:i/>
        </w:rPr>
        <w:t xml:space="preserve">traduit la convention de Fourier (flux positif dans le sens croissant de x) ; la comparaison porte sur les valeurs absolues.</w:t>
      </w:r>
    </w:p>
    <w:p>
      <w:pPr>
        <w:pStyle w:val="BodyText"/>
      </w:pPr>
      <w:r>
        <w:t xml:space="preserve">La chute de température lue sur le profil numérique entre x = 20 µm et x = 120 µm</w:t>
      </w:r>
      <w:r>
        <w:t xml:space="preserve"> </w:t>
      </w:r>
      <w:r>
        <w:t xml:space="preserve">vaut :</w:t>
      </w:r>
    </w:p>
    <w:p>
      <w:pPr>
        <w:pStyle w:val="BodyText"/>
      </w:pPr>
      <m:oMathPara>
        <m:oMathParaPr>
          <m:jc m:val="center"/>
        </m:oMathParaPr>
        <m:oMath>
          <m:r>
            <m:t>Δ</m:t>
          </m:r>
          <m:sSubSup>
            <m:e>
              <m:r>
                <m:t>T</m:t>
              </m:r>
            </m:e>
            <m:sub>
              <m:r>
                <m:t>N</m:t>
              </m:r>
              <m:r>
                <m:t>M</m:t>
              </m:r>
              <m:r>
                <m:t>C</m:t>
              </m:r>
            </m:sub>
            <m:sup>
              <m:r>
                <m:t>n</m:t>
              </m:r>
              <m:r>
                <m:t>u</m:t>
              </m:r>
              <m:r>
                <m:t>m</m:t>
              </m:r>
              <m:r>
                <m:t>é</m:t>
              </m:r>
              <m:r>
                <m:t>r</m:t>
              </m:r>
              <m:r>
                <m:t>i</m:t>
              </m:r>
              <m:r>
                <m:t>q</m:t>
              </m:r>
              <m:r>
                <m:t>u</m:t>
              </m:r>
              <m:r>
                <m:t>e</m:t>
              </m:r>
            </m:sup>
          </m:sSubSup>
          <m:r>
            <m:rPr>
              <m:sty m:val="p"/>
            </m:rPr>
            <m:t>=</m:t>
          </m:r>
          <m:r>
            <m:t>T</m:t>
          </m:r>
          <m:d>
            <m:dPr>
              <m:begChr m:val="("/>
              <m:endChr m:val=")"/>
              <m:sepChr m:val=""/>
              <m:grow/>
            </m:dPr>
            <m:e>
              <m:r>
                <m:t>120</m:t>
              </m:r>
              <m:r>
                <m:t> </m:t>
              </m:r>
              <m:r>
                <m:t>μ</m:t>
              </m:r>
              <m:r>
                <m:t>m</m:t>
              </m:r>
            </m:e>
          </m:d>
          <m:r>
            <m:rPr>
              <m:sty m:val="p"/>
            </m:rPr>
            <m:t>−</m:t>
          </m:r>
          <m:r>
            <m:t>T</m:t>
          </m:r>
          <m:d>
            <m:dPr>
              <m:begChr m:val="("/>
              <m:endChr m:val=")"/>
              <m:sepChr m:val=""/>
              <m:grow/>
            </m:dPr>
            <m:e>
              <m:r>
                <m:t>20</m:t>
              </m:r>
              <m:r>
                <m:t> </m:t>
              </m:r>
              <m:r>
                <m:t>μ</m:t>
              </m:r>
              <m:r>
                <m:t>m</m:t>
              </m:r>
            </m:e>
          </m:d>
          <m:r>
            <m:rPr>
              <m:sty m:val="p"/>
            </m:rPr>
            <m:t>=</m:t>
          </m:r>
          <m:r>
            <m:t>45</m:t>
          </m:r>
          <m:r>
            <m:rPr>
              <m:sty m:val="p"/>
            </m:rPr>
            <m:t>,</m:t>
          </m:r>
          <m:r>
            <m:t>028</m:t>
          </m:r>
          <m:r>
            <m:rPr>
              <m:sty m:val="p"/>
            </m:rPr>
            <m:t>−</m:t>
          </m:r>
          <m:r>
            <m:t>45</m:t>
          </m:r>
          <m:r>
            <m:rPr>
              <m:sty m:val="p"/>
            </m:rPr>
            <m:t>,</m:t>
          </m:r>
          <m:r>
            <m:t>024</m:t>
          </m:r>
          <m:r>
            <m:rPr>
              <m:sty m:val="p"/>
            </m:rPr>
            <m:t>=</m:t>
          </m:r>
          <m:r>
            <m:t>4</m:t>
          </m:r>
          <m:r>
            <m:rPr>
              <m:sty m:val="p"/>
            </m:rPr>
            <m:t>,</m:t>
          </m:r>
          <m:r>
            <m:t>00</m:t>
          </m:r>
          <m:r>
            <m:rPr>
              <m:sty m:val="p"/>
            </m:rPr>
            <m:t>×</m:t>
          </m:r>
          <m:sSup>
            <m:e>
              <m:r>
                <m:t>10</m:t>
              </m:r>
            </m:e>
            <m:sup>
              <m:r>
                <m:rPr>
                  <m:sty m:val="p"/>
                </m:rPr>
                <m:t>−</m:t>
              </m:r>
              <m:r>
                <m:t>3</m:t>
              </m:r>
            </m:sup>
          </m:sSup>
          <m:r>
            <m:rPr>
              <m:nor/>
              <m:sty m:val="p"/>
            </m:rPr>
            <m:t>°C</m:t>
          </m:r>
        </m:oMath>
      </m:oMathPara>
    </w:p>
    <w:p>
      <w:pPr>
        <w:pStyle w:val="FirstParagraph"/>
      </w:pPr>
      <w:r>
        <w:t xml:space="preserve">L’écart relatif entre les deux valeurs est de :</w:t>
      </w:r>
    </w:p>
    <w:p>
      <w:pPr>
        <w:pStyle w:val="BodyText"/>
      </w:pPr>
      <m:oMathPara>
        <m:oMathParaPr>
          <m:jc m:val="center"/>
        </m:oMathParaPr>
        <m:oMath>
          <m:r>
            <m:t>ϵ</m:t>
          </m:r>
          <m:r>
            <m:rPr>
              <m:sty m:val="p"/>
            </m:rPr>
            <m:t>=</m:t>
          </m:r>
          <m:f>
            <m:fPr>
              <m:type m:val="bar"/>
            </m:fPr>
            <m:num>
              <m:d>
                <m:dPr>
                  <m:begChr m:val="|"/>
                  <m:endChr m:val="|"/>
                  <m:sepChr m:val=""/>
                  <m:grow/>
                </m:dPr>
                <m:e>
                  <m:r>
                    <m:t>Δ</m:t>
                  </m:r>
                  <m:sSup>
                    <m:e>
                      <m:r>
                        <m:t>T</m:t>
                      </m:r>
                    </m:e>
                    <m:sup>
                      <m:r>
                        <m:t>n</m:t>
                      </m:r>
                      <m:r>
                        <m:t>u</m:t>
                      </m:r>
                      <m:r>
                        <m:t>m</m:t>
                      </m:r>
                    </m:sup>
                  </m:sSup>
                  <m:r>
                    <m:rPr>
                      <m:sty m:val="p"/>
                    </m:rPr>
                    <m:t>−</m:t>
                  </m:r>
                  <m:r>
                    <m:t>Δ</m:t>
                  </m:r>
                  <m:sSup>
                    <m:e>
                      <m:r>
                        <m:t>T</m:t>
                      </m:r>
                    </m:e>
                    <m:sup>
                      <m:r>
                        <m:t>a</m:t>
                      </m:r>
                      <m:r>
                        <m:t>n</m:t>
                      </m:r>
                      <m:r>
                        <m:t>a</m:t>
                      </m:r>
                    </m:sup>
                  </m:sSup>
                </m:e>
              </m:d>
            </m:num>
            <m:den>
              <m:d>
                <m:dPr>
                  <m:begChr m:val="|"/>
                  <m:endChr m:val="|"/>
                  <m:sepChr m:val=""/>
                  <m:grow/>
                </m:dPr>
                <m:e>
                  <m:r>
                    <m:t>Δ</m:t>
                  </m:r>
                  <m:sSup>
                    <m:e>
                      <m:r>
                        <m:t>T</m:t>
                      </m:r>
                    </m:e>
                    <m:sup>
                      <m:r>
                        <m:t>a</m:t>
                      </m:r>
                      <m:r>
                        <m:t>n</m:t>
                      </m:r>
                      <m:r>
                        <m:t>a</m:t>
                      </m:r>
                    </m:sup>
                  </m:sSup>
                </m:e>
              </m:d>
            </m:den>
          </m:f>
          <m:r>
            <m:rPr>
              <m:sty m:val="p"/>
            </m:rPr>
            <m:t>=</m:t>
          </m:r>
          <m:f>
            <m:fPr>
              <m:type m:val="bar"/>
            </m:fPr>
            <m:num>
              <m:d>
                <m:dPr>
                  <m:begChr m:val="|"/>
                  <m:endChr m:val="|"/>
                  <m:sepChr m:val=""/>
                  <m:grow/>
                </m:dPr>
                <m:e>
                  <m:r>
                    <m:t>4</m:t>
                  </m:r>
                  <m:r>
                    <m:rPr>
                      <m:sty m:val="p"/>
                    </m:rPr>
                    <m:t>,</m:t>
                  </m:r>
                  <m:r>
                    <m:t>00</m:t>
                  </m:r>
                  <m:r>
                    <m:rPr>
                      <m:sty m:val="p"/>
                    </m:rPr>
                    <m:t>−</m:t>
                  </m:r>
                  <m:r>
                    <m:t>3</m:t>
                  </m:r>
                  <m:r>
                    <m:rPr>
                      <m:sty m:val="p"/>
                    </m:rPr>
                    <m:t>,</m:t>
                  </m:r>
                  <m:r>
                    <m:t>18</m:t>
                  </m:r>
                </m:e>
              </m:d>
            </m:num>
            <m:den>
              <m:r>
                <m:t>3</m:t>
              </m:r>
              <m:r>
                <m:rPr>
                  <m:sty m:val="p"/>
                </m:rPr>
                <m:t>,</m:t>
              </m:r>
              <m:r>
                <m:t>18</m:t>
              </m:r>
            </m:den>
          </m:f>
          <m:r>
            <m:rPr>
              <m:sty m:val="p"/>
            </m:rPr>
            <m:t>≈</m:t>
          </m:r>
          <m:r>
            <m:t>26</m:t>
          </m:r>
          <m:r>
            <m:t> </m:t>
          </m:r>
          <m:r>
            <m:rPr>
              <m:sty m:val="p"/>
            </m:rPr>
            <m:t>%</m:t>
          </m:r>
        </m:oMath>
      </m:oMathPara>
    </w:p>
    <w:p>
      <w:pPr>
        <w:pStyle w:val="FirstParagraph"/>
      </w:pPr>
      <w:r>
        <w:t xml:space="preserve">Cet écart est imputable à la précision de lecture graphique sur un intervalle de</w:t>
      </w:r>
      <w:r>
        <w:t xml:space="preserve"> </w:t>
      </w:r>
      <w:r>
        <w:t xml:space="preserve">température très faible (~0,004°C).</w:t>
      </w:r>
    </w:p>
    <w:p>
      <w:pPr>
        <w:pStyle w:val="BodyText"/>
      </w:pPr>
      <w:r>
        <w:rPr>
          <w:bCs/>
          <w:b/>
        </w:rPr>
        <w:t xml:space="preserve">Pour un milieu homogène avec source uniforme S et convection symétrique</w:t>
      </w:r>
      <w:r>
        <w:t xml:space="preserve"> </w:t>
      </w:r>
      <w:r>
        <w:t xml:space="preserve">(h,</w:t>
      </w:r>
      <w:r>
        <w:t xml:space="preserve"> </w:t>
      </w:r>
      <m:oMath>
        <m:sSub>
          <m:e>
            <m:r>
              <m:t>T</m:t>
            </m:r>
          </m:e>
          <m:sub>
            <m:r>
              <m:t>f</m:t>
            </m:r>
          </m:sub>
        </m:sSub>
      </m:oMath>
      <w:r>
        <w:t xml:space="preserve">), la solution analytique est</w:t>
      </w:r>
      <w:r>
        <w:t xml:space="preserve"> </w:t>
      </w:r>
      <m:oMath>
        <m:r>
          <m:t>T</m:t>
        </m:r>
        <m:d>
          <m:dPr>
            <m:begChr m:val="("/>
            <m:endChr m:val=")"/>
            <m:sepChr m:val=""/>
            <m:grow/>
          </m:dPr>
          <m:e>
            <m:r>
              <m:t>x</m:t>
            </m:r>
          </m:e>
        </m:d>
        <m:r>
          <m:rPr>
            <m:sty m:val="p"/>
          </m:rPr>
          <m:t>=</m:t>
        </m:r>
        <m:r>
          <m:rPr>
            <m:sty m:val="p"/>
          </m:rPr>
          <m:t>−</m:t>
        </m:r>
        <m:f>
          <m:fPr>
            <m:type m:val="bar"/>
          </m:fPr>
          <m:num>
            <m:r>
              <m:t>S</m:t>
            </m:r>
          </m:num>
          <m:den>
            <m:r>
              <m:t>2</m:t>
            </m:r>
            <m:r>
              <m:t>K</m:t>
            </m:r>
          </m:den>
        </m:f>
        <m:r>
          <m:rPr>
            <m:sty m:val="p"/>
          </m:rPr>
          <m:t>⋅</m:t>
        </m:r>
        <m:r>
          <m:t>x</m:t>
        </m:r>
        <m:r>
          <m:rPr>
            <m:sty m:val="p"/>
          </m:rPr>
          <m:t>⋅</m:t>
        </m:r>
        <m:d>
          <m:dPr>
            <m:begChr m:val="("/>
            <m:endChr m:val=")"/>
            <m:sepChr m:val=""/>
            <m:grow/>
          </m:dPr>
          <m:e>
            <m:r>
              <m:t>x</m:t>
            </m:r>
            <m:r>
              <m:rPr>
                <m:sty m:val="p"/>
              </m:rPr>
              <m:t>−</m:t>
            </m:r>
            <m:r>
              <m:t>L</m:t>
            </m:r>
          </m:e>
        </m:d>
        <m:r>
          <m:rPr>
            <m:sty m:val="p"/>
          </m:rPr>
          <m:t>+</m:t>
        </m:r>
        <m:sSub>
          <m:e>
            <m:r>
              <m:t>T</m:t>
            </m:r>
          </m:e>
          <m:sub>
            <m:r>
              <m:t>b</m:t>
            </m:r>
            <m:r>
              <m:t>o</m:t>
            </m:r>
            <m:r>
              <m:t>r</m:t>
            </m:r>
            <m:r>
              <m:t>d</m:t>
            </m:r>
          </m:sub>
        </m:sSub>
      </m:oMath>
      <w:r>
        <w:t xml:space="preserve"> </w:t>
      </w:r>
      <w:r>
        <w:t xml:space="preserve">avec</w:t>
      </w:r>
      <w:r>
        <w:t xml:space="preserve"> </w:t>
      </w:r>
      <m:oMath>
        <m:sSub>
          <m:e>
            <m:r>
              <m:t>T</m:t>
            </m:r>
          </m:e>
          <m:sub>
            <m:r>
              <m:t>b</m:t>
            </m:r>
            <m:r>
              <m:t>o</m:t>
            </m:r>
            <m:r>
              <m:t>r</m:t>
            </m:r>
            <m:r>
              <m:t>d</m:t>
            </m:r>
          </m:sub>
        </m:sSub>
        <m:r>
          <m:rPr>
            <m:sty m:val="p"/>
          </m:rPr>
          <m:t>=</m:t>
        </m:r>
        <m:sSub>
          <m:e>
            <m:r>
              <m:t>T</m:t>
            </m:r>
          </m:e>
          <m:sub>
            <m:r>
              <m:t>f</m:t>
            </m:r>
          </m:sub>
        </m:sSub>
        <m:r>
          <m:rPr>
            <m:sty m:val="p"/>
          </m:rPr>
          <m:t>+</m:t>
        </m:r>
        <m:f>
          <m:fPr>
            <m:type m:val="bar"/>
          </m:fPr>
          <m:num>
            <m:r>
              <m:t>S</m:t>
            </m:r>
            <m:r>
              <m:rPr>
                <m:sty m:val="p"/>
              </m:rPr>
              <m:t>⋅</m:t>
            </m:r>
            <m:r>
              <m:t>L</m:t>
            </m:r>
          </m:num>
          <m:den>
            <m:r>
              <m:t>2</m:t>
            </m:r>
            <m:r>
              <m:rPr>
                <m:sty m:val="p"/>
              </m:rPr>
              <m:t>⋅</m:t>
            </m:r>
            <m:r>
              <m:t>h</m:t>
            </m:r>
          </m:den>
        </m:f>
      </m:oMath>
      <w:r>
        <w:t xml:space="preserve">. La solution numérique concorde avec cette référence, confirmant la bonne implémentation du schéma TDMA et des conditions aux limites convectives.</w:t>
      </w:r>
    </w:p>
    <w:bookmarkEnd w:id="31"/>
    <w:bookmarkEnd w:id="32"/>
    <w:bookmarkStart w:id="36" w:name="objectif-2-milieu-homogène-équivalent"/>
    <w:p>
      <w:pPr>
        <w:pStyle w:val="Heading1"/>
      </w:pPr>
      <w:r>
        <w:rPr>
          <w:rStyle w:val="SectionNumber"/>
        </w:rPr>
        <w:t xml:space="preserve">5</w:t>
      </w:r>
      <w:r>
        <w:tab/>
      </w:r>
      <w:r>
        <w:t xml:space="preserve">Objectif 2 — Milieu homogène équivalent</w:t>
      </w:r>
    </w:p>
    <w:bookmarkStart w:id="33" w:name="détermination-du-milieu-équivalent"/>
    <w:p>
      <w:pPr>
        <w:pStyle w:val="Heading2"/>
      </w:pPr>
      <w:r>
        <w:rPr>
          <w:rStyle w:val="SectionNumber"/>
        </w:rPr>
        <w:t xml:space="preserve">5.1</w:t>
      </w:r>
      <w:r>
        <w:tab/>
      </w:r>
      <w:r>
        <w:t xml:space="preserve">Détermination du milieu équivalent</w:t>
      </w:r>
    </w:p>
    <w:p>
      <w:pPr>
        <w:pStyle w:val="FirstParagraph"/>
      </w:pPr>
      <w:r>
        <w:rPr>
          <w:bCs/>
          <w:b/>
        </w:rPr>
        <w:t xml:space="preserve">Conductivité équivalente</w:t>
      </w:r>
      <w:r>
        <w:rPr>
          <w:bCs/>
          <w:b/>
        </w:rPr>
        <w:t xml:space="preserve"> </w:t>
      </w:r>
      <m:oMath>
        <m:sSub>
          <m:e>
            <m:r>
              <m:t>K</m:t>
            </m:r>
          </m:e>
          <m:sub>
            <m:r>
              <m:t>e</m:t>
            </m:r>
            <m:r>
              <m:t>q</m:t>
            </m:r>
          </m:sub>
        </m:sSub>
      </m:oMath>
      <w:r>
        <w:rPr>
          <w:bCs/>
          <w:b/>
        </w:rPr>
        <w:t xml:space="preserve"> </w:t>
      </w:r>
      <w:r>
        <w:rPr>
          <w:bCs/>
          <w:b/>
        </w:rPr>
        <w:t xml:space="preserve">:</w:t>
      </w:r>
      <w:r>
        <w:t xml:space="preserve"> </w:t>
      </w:r>
      <w:r>
        <w:t xml:space="preserve">Les couches thermiques sont en série, donc la résistance totale est la somme des résistances individuelles. La conductivité équivalente est calculée par :</w:t>
      </w:r>
    </w:p>
    <w:p>
      <w:pPr>
        <w:pStyle w:val="BodyText"/>
      </w:pPr>
      <m:oMath>
        <m:sSub>
          <m:e>
            <m:r>
              <m:t>R</m:t>
            </m:r>
          </m:e>
          <m:sub>
            <m:r>
              <m:t>t</m:t>
            </m:r>
            <m:r>
              <m:t>o</m:t>
            </m:r>
            <m:r>
              <m:t>t</m:t>
            </m:r>
          </m:sub>
        </m:sSub>
        <m:r>
          <m:rPr>
            <m:sty m:val="p"/>
          </m:rPr>
          <m:t>=</m:t>
        </m:r>
        <m:r>
          <m:t>Σ</m:t>
        </m:r>
        <m:f>
          <m:fPr>
            <m:type m:val="bar"/>
          </m:fPr>
          <m:num>
            <m:sSub>
              <m:e>
                <m:r>
                  <m:t>e</m:t>
                </m:r>
              </m:e>
              <m:sub>
                <m:r>
                  <m:t>j</m:t>
                </m:r>
              </m:sub>
            </m:sSub>
          </m:num>
          <m:den>
            <m:sSub>
              <m:e>
                <m:r>
                  <m:t>K</m:t>
                </m:r>
              </m:e>
              <m:sub>
                <m:r>
                  <m:t>j</m:t>
                </m:r>
              </m:sub>
            </m:sSub>
          </m:den>
        </m:f>
      </m:oMath>
      <w:r>
        <w:rPr>
          <w:bCs/>
          <w:b/>
        </w:rPr>
        <w:t xml:space="preserve"> </w:t>
      </w:r>
      <w:r>
        <w:rPr>
          <w:bCs/>
          <w:b/>
        </w:rPr>
        <w:t xml:space="preserve">,</w:t>
      </w:r>
      <w:r>
        <w:rPr>
          <w:bCs/>
          <w:b/>
        </w:rPr>
        <w:t xml:space="preserve"> </w:t>
      </w:r>
      <m:oMath>
        <m:sSub>
          <m:e>
            <m:r>
              <m:t>K</m:t>
            </m:r>
          </m:e>
          <m:sub>
            <m:r>
              <m:t>e</m:t>
            </m:r>
            <m:r>
              <m:t>q</m:t>
            </m:r>
          </m:sub>
        </m:sSub>
        <m:r>
          <m:rPr>
            <m:sty m:val="p"/>
          </m:rPr>
          <m:t>=</m:t>
        </m:r>
        <m:sSub>
          <m:e>
            <m:r>
              <m:t>L</m:t>
            </m:r>
          </m:e>
          <m:sub>
            <m:r>
              <m:t>t</m:t>
            </m:r>
            <m:r>
              <m:t>o</m:t>
            </m:r>
            <m:r>
              <m:t>t</m:t>
            </m:r>
          </m:sub>
        </m:sSub>
        <m:r>
          <m:rPr>
            <m:sty m:val="p"/>
          </m:rPr>
          <m:t>/</m:t>
        </m:r>
        <m:sSub>
          <m:e>
            <m:r>
              <m:t>R</m:t>
            </m:r>
          </m:e>
          <m:sub>
            <m:r>
              <m:t>t</m:t>
            </m:r>
            <m:r>
              <m:t>o</m:t>
            </m:r>
            <m:r>
              <m:t>t</m:t>
            </m:r>
          </m:sub>
        </m:sSub>
      </m:oMath>
    </w:p>
    <w:p>
      <w:pPr>
        <w:pStyle w:val="BodyText"/>
      </w:pPr>
      <w:r>
        <w:rPr>
          <w:bCs/>
          <w:b/>
        </w:rPr>
        <w:t xml:space="preserve">Source équivalente</w:t>
      </w:r>
      <w:r>
        <w:rPr>
          <w:bCs/>
          <w:b/>
        </w:rPr>
        <w:t xml:space="preserve"> </w:t>
      </w:r>
      <m:oMath>
        <m:sSub>
          <m:e>
            <m:r>
              <m:t>S</m:t>
            </m:r>
          </m:e>
          <m:sub>
            <m:r>
              <m:t>e</m:t>
            </m:r>
            <m:r>
              <m:t>q</m:t>
            </m:r>
          </m:sub>
        </m:sSub>
      </m:oMath>
      <w:r>
        <w:rPr>
          <w:bCs/>
          <w:b/>
        </w:rPr>
        <w:t xml:space="preserve"> </w:t>
      </w:r>
      <w:r>
        <w:rPr>
          <w:bCs/>
          <w:b/>
        </w:rPr>
        <w:t xml:space="preserve">:</w:t>
      </w:r>
      <w:r>
        <w:t xml:space="preserve"> </w:t>
      </w:r>
      <w:r>
        <w:t xml:space="preserve">Elle est calculée comme la moyenne volumique des sources de chaque couche :</w:t>
      </w:r>
      <w:r>
        <w:t xml:space="preserve"> </w:t>
      </w:r>
      <m:oMath>
        <m:sSub>
          <m:e>
            <m:r>
              <m:t>S</m:t>
            </m:r>
          </m:e>
          <m:sub>
            <m:r>
              <m:t>e</m:t>
            </m:r>
            <m:r>
              <m:t>q</m:t>
            </m:r>
          </m:sub>
        </m:sSub>
        <m:r>
          <m:rPr>
            <m:sty m:val="p"/>
          </m:rPr>
          <m:t>=</m:t>
        </m:r>
        <m:r>
          <m:t>Σ</m:t>
        </m:r>
        <m:d>
          <m:dPr>
            <m:begChr m:val="("/>
            <m:endChr m:val=")"/>
            <m:sepChr m:val=""/>
            <m:grow/>
          </m:dPr>
          <m:e>
            <m:sSub>
              <m:e>
                <m:r>
                  <m:t>S</m:t>
                </m:r>
              </m:e>
              <m:sub>
                <m:r>
                  <m:t>j</m:t>
                </m:r>
              </m:sub>
            </m:sSub>
            <m:r>
              <m:rPr>
                <m:sty m:val="p"/>
              </m:rPr>
              <m:t>⋅</m:t>
            </m:r>
            <m:sSub>
              <m:e>
                <m:r>
                  <m:t>e</m:t>
                </m:r>
              </m:e>
              <m:sub>
                <m:r>
                  <m:t>j</m:t>
                </m:r>
              </m:sub>
            </m:sSub>
          </m:e>
        </m:d>
        <m:r>
          <m:rPr>
            <m:sty m:val="p"/>
          </m:rPr>
          <m:t>/</m:t>
        </m:r>
        <m:sSub>
          <m:e>
            <m:r>
              <m:t>L</m:t>
            </m:r>
          </m:e>
          <m:sub>
            <m:r>
              <m:t>t</m:t>
            </m:r>
            <m:r>
              <m:t>o</m:t>
            </m:r>
            <m:r>
              <m:t>t</m:t>
            </m:r>
          </m:sub>
        </m:sSub>
      </m:oMath>
      <w:r>
        <w:t xml:space="preserve">, garantissant la conservation de la puissance totale dissipée dans la cellule.</w:t>
      </w:r>
    </w:p>
    <w:p>
      <w:pPr>
        <w:pStyle w:val="BodyText"/>
      </w:pPr>
      <w:r>
        <w:rPr>
          <w:bCs/>
          <w:b/>
        </w:rPr>
        <w:t xml:space="preserve">Remarque :</w:t>
      </w:r>
      <w:r>
        <w:t xml:space="preserve"> </w:t>
      </w:r>
      <w:r>
        <w:t xml:space="preserve">La conductivité équivalente</w:t>
      </w:r>
      <w:r>
        <w:t xml:space="preserve"> </w:t>
      </w:r>
      <m:oMath>
        <m:sSub>
          <m:e>
            <m:r>
              <m:t>K</m:t>
            </m:r>
          </m:e>
          <m:sub>
            <m:r>
              <m:t>e</m:t>
            </m:r>
            <m:r>
              <m:t>q</m:t>
            </m:r>
          </m:sub>
        </m:sSub>
        <m:r>
          <m:rPr>
            <m:sty m:val="p"/>
          </m:rPr>
          <m:t>=</m:t>
        </m:r>
        <m:r>
          <m:t>1</m:t>
        </m:r>
        <m:r>
          <m:rPr>
            <m:sty m:val="p"/>
          </m:rPr>
          <m:t>,</m:t>
        </m:r>
        <m:r>
          <m:t>591</m:t>
        </m:r>
        <m:r>
          <m:t>W</m:t>
        </m:r>
        <m:r>
          <m:rPr>
            <m:sty m:val="p"/>
          </m:rPr>
          <m:t>/</m:t>
        </m:r>
        <m:r>
          <m:t>m</m:t>
        </m:r>
        <m:r>
          <m:t>K</m:t>
        </m:r>
      </m:oMath>
      <w:r>
        <w:t xml:space="preserve"> </w:t>
      </w:r>
      <w:r>
        <w:t xml:space="preserve">est très proche de celle de la couche active cathode (1,58 W/mK), car la résistance thermique est dominée par les couches les plus épaisses à faible conductivité (cathode, séparateur, anode). Les collecteurs métalliques (Al et Cu) ont des conductivités très élevées (&gt;100 W/mK) mais contribuent peu à la résistance thermique totale vu leur faible épaisseur.</w:t>
      </w:r>
    </w:p>
    <w:bookmarkEnd w:id="33"/>
    <w:bookmarkStart w:id="35" w:name="Xe3b2a80a055a1be5f1da4a81203ae907ef8a70a"/>
    <w:p>
      <w:pPr>
        <w:pStyle w:val="Heading2"/>
      </w:pPr>
      <w:r>
        <w:rPr>
          <w:rStyle w:val="SectionNumber"/>
        </w:rPr>
        <w:t xml:space="preserve">5.2</w:t>
      </w:r>
      <w:r>
        <w:tab/>
      </w:r>
      <w:r>
        <w:t xml:space="preserve">Comparaison multicouche / milieu équivalent</w:t>
      </w:r>
    </w:p>
    <w:p>
      <w:pPr>
        <w:pStyle w:val="FirstParagraph"/>
      </w:pPr>
      <w:r>
        <w:t xml:space="preserve">Pour observer le profil de température, sans source interne, ces conditions de simulations ont été utilisées :</w:t>
      </w:r>
    </w:p>
    <w:p>
      <w:pPr>
        <w:pStyle w:val="BodyText"/>
      </w:pPr>
      <w:r>
        <w:t xml:space="preserve">Pour observer l’effet de la source interne, la température des fluides aux extrémités est mise égale car l’épaisseur de la cellule ne permettra pas de voir les différences de température à cet ordre de grandeur d’épaisseur :</w:t>
      </w:r>
    </w:p>
    <w:p>
      <w:pPr>
        <w:pStyle w:val="BodyText"/>
      </w:pPr>
      <w:r>
        <w:t xml:space="preserve">Le modèle équivalent reproduit fidèlement le comportement global (température maximale et minimale) avec un écart inférieur à 0,01 °C sur</w:t>
      </w:r>
      <w:r>
        <w:t xml:space="preserve"> </w:t>
      </w:r>
      <m:oMath>
        <m:sSub>
          <m:e>
            <m:r>
              <m:t>T</m:t>
            </m:r>
          </m:e>
          <m:sub>
            <m:r>
              <m:t>m</m:t>
            </m:r>
            <m:r>
              <m:t>a</m:t>
            </m:r>
            <m:r>
              <m:t>x</m:t>
            </m:r>
          </m:sub>
        </m:sSub>
      </m:oMath>
      <w:r>
        <w:t xml:space="preserve"> </w:t>
      </w:r>
      <w:r>
        <w:t xml:space="preserve">dans les deux modes de charge.</w:t>
      </w:r>
    </w:p>
    <w:p>
      <w:pPr>
        <w:pStyle w:val="BodyText"/>
      </w:pPr>
      <w:r>
        <w:rPr>
          <w:bCs/>
          <w:b/>
        </w:rPr>
        <w:t xml:space="preserve">Limites du modèle équivalent :</w:t>
      </w:r>
      <w:r>
        <w:t xml:space="preserve"> </w:t>
      </w:r>
      <w:r>
        <w:t xml:space="preserve">Le profil de température interne à la cellule est lissé par l’homogénéisation : le modèle équivalent ne peut pas restituer les variations locales de température aux interfaces entre couches (gradient dans le séparateur notamment), ni les effets de concentration de flux aux interfaces de conductivités très différentes. Pour l’assemblage, où l’intérêt est la température macroscopique de l’ensemble, cette approximation est parfaitement acceptable.</w:t>
      </w:r>
    </w:p>
    <w:bookmarkStart w:id="34" w:name="X34580004bf172cebf0aad011e0354f3f72c7cca"/>
    <w:p>
      <w:pPr>
        <w:pStyle w:val="Heading3"/>
      </w:pPr>
      <w:r>
        <w:rPr>
          <w:rStyle w:val="SectionNumber"/>
        </w:rPr>
        <w:t xml:space="preserve">5.2.1</w:t>
      </w:r>
      <w:r>
        <w:tab/>
      </w:r>
      <w:r>
        <w:t xml:space="preserve">Validation de la conductivité équivalente</w:t>
      </w:r>
    </w:p>
    <w:p>
      <w:pPr>
        <w:pStyle w:val="FirstParagraph"/>
      </w:pPr>
      <w:r>
        <w:t xml:space="preserve">Sans source interne et en régime permanent, le flux est constant dans tout le domaine.</w:t>
      </w:r>
      <w:r>
        <w:t xml:space="preserve"> </w:t>
      </w:r>
      <w:r>
        <w:t xml:space="preserve">On l’extrait depuis la face Ouest :</w:t>
      </w:r>
    </w:p>
    <w:p>
      <w:pPr>
        <w:pStyle w:val="BodyText"/>
      </w:pPr>
      <m:oMathPara>
        <m:oMathParaPr>
          <m:jc m:val="center"/>
        </m:oMathParaPr>
        <m:oMath>
          <m:r>
            <m:t>φ</m:t>
          </m:r>
          <m:r>
            <m:rPr>
              <m:sty m:val="p"/>
            </m:rPr>
            <m:t>=</m:t>
          </m:r>
          <m:r>
            <m:t>h</m:t>
          </m:r>
          <m:r>
            <m:rPr>
              <m:sty m:val="p"/>
            </m:rPr>
            <m:t>⋅</m:t>
          </m:r>
          <m:d>
            <m:dPr>
              <m:begChr m:val="("/>
              <m:endChr m:val=")"/>
              <m:sepChr m:val=""/>
              <m:grow/>
            </m:dPr>
            <m:e>
              <m:r>
                <m:t>T</m:t>
              </m:r>
              <m:d>
                <m:dPr>
                  <m:begChr m:val="("/>
                  <m:endChr m:val=")"/>
                  <m:sepChr m:val=""/>
                  <m:grow/>
                </m:dPr>
                <m:e>
                  <m:r>
                    <m:t>0</m:t>
                  </m:r>
                </m:e>
              </m:d>
              <m:r>
                <m:rPr>
                  <m:sty m:val="p"/>
                </m:rPr>
                <m:t>−</m:t>
              </m:r>
              <m:sSub>
                <m:e>
                  <m:r>
                    <m:t>T</m:t>
                  </m:r>
                </m:e>
                <m:sub>
                  <m:r>
                    <m:t>e</m:t>
                  </m:r>
                  <m:r>
                    <m:t>x</m:t>
                  </m:r>
                  <m:r>
                    <m:t>t</m:t>
                  </m:r>
                  <m:r>
                    <m:rPr>
                      <m:sty m:val="p"/>
                    </m:rPr>
                    <m:t>,</m:t>
                  </m:r>
                  <m:r>
                    <m:t>O</m:t>
                  </m:r>
                </m:sub>
              </m:sSub>
            </m:e>
          </m:d>
          <m:r>
            <m:rPr>
              <m:sty m:val="p"/>
            </m:rPr>
            <m:t>=</m:t>
          </m:r>
          <m:r>
            <m:t>10</m:t>
          </m:r>
          <m:r>
            <m:rPr>
              <m:sty m:val="p"/>
            </m:rPr>
            <m:t>⋅</m:t>
          </m:r>
          <m:d>
            <m:dPr>
              <m:begChr m:val="("/>
              <m:endChr m:val=")"/>
              <m:sepChr m:val=""/>
              <m:grow/>
            </m:dPr>
            <m:e>
              <m:r>
                <m:t>45</m:t>
              </m:r>
              <m:r>
                <m:rPr>
                  <m:sty m:val="p"/>
                </m:rPr>
                <m:t>,</m:t>
              </m:r>
              <m:r>
                <m:t>0245</m:t>
              </m:r>
              <m:r>
                <m:rPr>
                  <m:sty m:val="p"/>
                </m:rPr>
                <m:t>−</m:t>
              </m:r>
              <m:r>
                <m:t>40</m:t>
              </m:r>
            </m:e>
          </m:d>
          <m:r>
            <m:rPr>
              <m:sty m:val="p"/>
            </m:rPr>
            <m:t>=</m:t>
          </m:r>
          <m:r>
            <m:t>50</m:t>
          </m:r>
          <m:r>
            <m:rPr>
              <m:sty m:val="p"/>
            </m:rPr>
            <m:t>,</m:t>
          </m:r>
          <m:r>
            <m:t>245</m:t>
          </m:r>
          <m:r>
            <m:t> </m:t>
          </m:r>
          <m:r>
            <m:t>W</m:t>
          </m:r>
          <m:r>
            <m:rPr>
              <m:sty m:val="p"/>
            </m:rPr>
            <m:t>/</m:t>
          </m:r>
          <m:sSup>
            <m:e>
              <m:r>
                <m:t>m</m:t>
              </m:r>
            </m:e>
            <m:sup>
              <m:r>
                <m:t>2</m:t>
              </m:r>
            </m:sup>
          </m:sSup>
        </m:oMath>
      </m:oMathPara>
    </w:p>
    <w:p>
      <w:pPr>
        <w:pStyle w:val="FirstParagraph"/>
      </w:pPr>
      <w:r>
        <w:t xml:space="preserve">La conductivité équivalente extraite numériquement vaut :</w:t>
      </w:r>
    </w:p>
    <w:p>
      <w:pPr>
        <w:pStyle w:val="BodyText"/>
      </w:pPr>
      <m:oMathPara>
        <m:oMathParaPr>
          <m:jc m:val="center"/>
        </m:oMathParaPr>
        <m:oMath>
          <m:sSubSup>
            <m:e>
              <m:r>
                <m:t>K</m:t>
              </m:r>
            </m:e>
            <m:sub>
              <m:r>
                <m:t>e</m:t>
              </m:r>
              <m:r>
                <m:t>q</m:t>
              </m:r>
            </m:sub>
            <m:sup>
              <m:r>
                <m:t>n</m:t>
              </m:r>
              <m:r>
                <m:t>u</m:t>
              </m:r>
              <m:r>
                <m:t>m</m:t>
              </m:r>
            </m:sup>
          </m:sSubSup>
          <m:r>
            <m:rPr>
              <m:sty m:val="p"/>
            </m:rPr>
            <m:t>=</m:t>
          </m:r>
          <m:f>
            <m:fPr>
              <m:type m:val="bar"/>
            </m:fPr>
            <m:num>
              <m:r>
                <m:t>φ</m:t>
              </m:r>
              <m:r>
                <m:rPr>
                  <m:sty m:val="p"/>
                </m:rPr>
                <m:t>⋅</m:t>
              </m:r>
              <m:sSub>
                <m:e>
                  <m:r>
                    <m:t>L</m:t>
                  </m:r>
                </m:e>
                <m:sub>
                  <m:r>
                    <m:t>t</m:t>
                  </m:r>
                  <m:r>
                    <m:t>o</m:t>
                  </m:r>
                  <m:r>
                    <m:t>t</m:t>
                  </m:r>
                </m:sub>
              </m:sSub>
            </m:num>
            <m:den>
              <m:r>
                <m:t>T</m:t>
              </m:r>
              <m:d>
                <m:dPr>
                  <m:begChr m:val="("/>
                  <m:endChr m:val=")"/>
                  <m:sepChr m:val=""/>
                  <m:grow/>
                </m:dPr>
                <m:e>
                  <m:r>
                    <m:t>L</m:t>
                  </m:r>
                </m:e>
              </m:d>
              <m:r>
                <m:rPr>
                  <m:sty m:val="p"/>
                </m:rPr>
                <m:t>−</m:t>
              </m:r>
              <m:r>
                <m:t>T</m:t>
              </m:r>
              <m:d>
                <m:dPr>
                  <m:begChr m:val="("/>
                  <m:endChr m:val=")"/>
                  <m:sepChr m:val=""/>
                  <m:grow/>
                </m:dPr>
                <m:e>
                  <m:r>
                    <m:t>0</m:t>
                  </m:r>
                </m:e>
              </m:d>
            </m:den>
          </m:f>
          <m:r>
            <m:rPr>
              <m:sty m:val="p"/>
            </m:rPr>
            <m:t>=</m:t>
          </m:r>
          <m:f>
            <m:fPr>
              <m:type m:val="bar"/>
            </m:fPr>
            <m:num>
              <m:r>
                <m:t>50</m:t>
              </m:r>
              <m:r>
                <m:rPr>
                  <m:sty m:val="p"/>
                </m:rPr>
                <m:t>,</m:t>
              </m:r>
              <m:r>
                <m:t>245</m:t>
              </m:r>
              <m:r>
                <m:rPr>
                  <m:sty m:val="p"/>
                </m:rPr>
                <m:t>×</m:t>
              </m:r>
              <m:r>
                <m:t>250</m:t>
              </m:r>
              <m:r>
                <m:rPr>
                  <m:sty m:val="p"/>
                </m:rPr>
                <m:t>×</m:t>
              </m:r>
              <m:sSup>
                <m:e>
                  <m:r>
                    <m:t>10</m:t>
                  </m:r>
                </m:e>
                <m:sup>
                  <m:r>
                    <m:rPr>
                      <m:sty m:val="p"/>
                    </m:rPr>
                    <m:t>−</m:t>
                  </m:r>
                  <m:r>
                    <m:t>6</m:t>
                  </m:r>
                </m:sup>
              </m:sSup>
            </m:num>
            <m:den>
              <m:r>
                <m:t>45</m:t>
              </m:r>
              <m:r>
                <m:rPr>
                  <m:sty m:val="p"/>
                </m:rPr>
                <m:t>,</m:t>
              </m:r>
              <m:r>
                <m:t>0323</m:t>
              </m:r>
              <m:r>
                <m:rPr>
                  <m:sty m:val="p"/>
                </m:rPr>
                <m:t>−</m:t>
              </m:r>
              <m:r>
                <m:t>45</m:t>
              </m:r>
              <m:r>
                <m:rPr>
                  <m:sty m:val="p"/>
                </m:rPr>
                <m:t>,</m:t>
              </m:r>
              <m:r>
                <m:t>0245</m:t>
              </m:r>
            </m:den>
          </m:f>
          <m:r>
            <m:rPr>
              <m:sty m:val="p"/>
            </m:rPr>
            <m:t>=</m:t>
          </m:r>
          <m:f>
            <m:fPr>
              <m:type m:val="bar"/>
            </m:fPr>
            <m:num>
              <m:r>
                <m:t>1</m:t>
              </m:r>
              <m:r>
                <m:rPr>
                  <m:sty m:val="p"/>
                </m:rPr>
                <m:t>,</m:t>
              </m:r>
              <m:r>
                <m:t>256</m:t>
              </m:r>
              <m:r>
                <m:rPr>
                  <m:sty m:val="p"/>
                </m:rPr>
                <m:t>×</m:t>
              </m:r>
              <m:sSup>
                <m:e>
                  <m:r>
                    <m:t>10</m:t>
                  </m:r>
                </m:e>
                <m:sup>
                  <m:r>
                    <m:rPr>
                      <m:sty m:val="p"/>
                    </m:rPr>
                    <m:t>−</m:t>
                  </m:r>
                  <m:r>
                    <m:t>2</m:t>
                  </m:r>
                </m:sup>
              </m:sSup>
            </m:num>
            <m:den>
              <m:r>
                <m:t>7</m:t>
              </m:r>
              <m:r>
                <m:rPr>
                  <m:sty m:val="p"/>
                </m:rPr>
                <m:t>,</m:t>
              </m:r>
              <m:r>
                <m:t>774</m:t>
              </m:r>
              <m:r>
                <m:rPr>
                  <m:sty m:val="p"/>
                </m:rPr>
                <m:t>×</m:t>
              </m:r>
              <m:sSup>
                <m:e>
                  <m:r>
                    <m:t>10</m:t>
                  </m:r>
                </m:e>
                <m:sup>
                  <m:r>
                    <m:rPr>
                      <m:sty m:val="p"/>
                    </m:rPr>
                    <m:t>−</m:t>
                  </m:r>
                  <m:r>
                    <m:t>3</m:t>
                  </m:r>
                </m:sup>
              </m:sSup>
            </m:den>
          </m:f>
          <m:r>
            <m:rPr>
              <m:sty m:val="p"/>
            </m:rPr>
            <m:t>≈</m:t>
          </m:r>
          <m:r>
            <m:t>1</m:t>
          </m:r>
          <m:r>
            <m:rPr>
              <m:sty m:val="p"/>
            </m:rPr>
            <m:t>,</m:t>
          </m:r>
          <m:r>
            <m:t>616</m:t>
          </m:r>
          <m:r>
            <m:t> </m:t>
          </m:r>
          <m:r>
            <m:t>W</m:t>
          </m:r>
          <m:r>
            <m:rPr>
              <m:sty m:val="p"/>
            </m:rPr>
            <m:t>/</m:t>
          </m:r>
          <m:r>
            <m:t>m</m:t>
          </m:r>
          <m:r>
            <m:rPr>
              <m:sty m:val="p"/>
            </m:rPr>
            <m:t>⋅</m:t>
          </m:r>
          <m:r>
            <m:t>K</m:t>
          </m:r>
        </m:oMath>
      </m:oMathPara>
    </w:p>
    <w:p>
      <w:pPr>
        <w:pStyle w:val="FirstParagraph"/>
      </w:pPr>
      <w:r>
        <w:t xml:space="preserve">Ici, T(L) et T(0) sont récupérées dans le fichier de sortie pour plus de précision.</w:t>
      </w:r>
      <w:r>
        <w:t xml:space="preserve"> </w:t>
      </w:r>
      <w:r>
        <w:t xml:space="preserve">Comparée à la valeur analytique obtenue par résistances en série :</w:t>
      </w:r>
    </w:p>
    <w:p>
      <w:pPr>
        <w:pStyle w:val="BodyText"/>
      </w:pPr>
      <m:oMathPara>
        <m:oMathParaPr>
          <m:jc m:val="center"/>
        </m:oMathParaPr>
        <m:oMath>
          <m:sSubSup>
            <m:e>
              <m:r>
                <m:t>K</m:t>
              </m:r>
            </m:e>
            <m:sub>
              <m:r>
                <m:t>e</m:t>
              </m:r>
              <m:r>
                <m:t>q</m:t>
              </m:r>
            </m:sub>
            <m:sup>
              <m:r>
                <m:t>a</m:t>
              </m:r>
              <m:r>
                <m:t>n</m:t>
              </m:r>
              <m:r>
                <m:t>a</m:t>
              </m:r>
            </m:sup>
          </m:sSubSup>
          <m:r>
            <m:rPr>
              <m:sty m:val="p"/>
            </m:rPr>
            <m:t>=</m:t>
          </m:r>
          <m:f>
            <m:fPr>
              <m:type m:val="bar"/>
            </m:fPr>
            <m:num>
              <m:sSub>
                <m:e>
                  <m:r>
                    <m:t>L</m:t>
                  </m:r>
                </m:e>
                <m:sub>
                  <m:r>
                    <m:t>t</m:t>
                  </m:r>
                  <m:r>
                    <m:t>o</m:t>
                  </m:r>
                  <m:r>
                    <m:t>t</m:t>
                  </m:r>
                </m:sub>
              </m:sSub>
            </m:num>
            <m:den>
              <m:nary>
                <m:naryPr>
                  <m:chr m:val="∑"/>
                  <m:limLoc m:val="undOvr"/>
                  <m:subHide m:val="off"/>
                  <m:supHide m:val="on"/>
                </m:naryPr>
                <m:sub>
                  <m:r>
                    <m:t>j</m:t>
                  </m:r>
                </m:sub>
                <m:sup>
                  <m:r>
                    <m:t>​</m:t>
                  </m:r>
                </m:sup>
                <m:e>
                  <m:f>
                    <m:fPr>
                      <m:type m:val="bar"/>
                    </m:fPr>
                    <m:num>
                      <m:sSub>
                        <m:e>
                          <m:r>
                            <m:t>e</m:t>
                          </m:r>
                        </m:e>
                        <m:sub>
                          <m:r>
                            <m:t>j</m:t>
                          </m:r>
                        </m:sub>
                      </m:sSub>
                    </m:num>
                    <m:den>
                      <m:sSub>
                        <m:e>
                          <m:r>
                            <m:t>λ</m:t>
                          </m:r>
                        </m:e>
                        <m:sub>
                          <m:r>
                            <m:t>j</m:t>
                          </m:r>
                        </m:sub>
                      </m:sSub>
                    </m:den>
                  </m:f>
                </m:e>
              </m:nary>
            </m:den>
          </m:f>
          <m:r>
            <m:rPr>
              <m:sty m:val="p"/>
            </m:rPr>
            <m:t>=</m:t>
          </m:r>
          <m:r>
            <m:t>1</m:t>
          </m:r>
          <m:r>
            <m:rPr>
              <m:sty m:val="p"/>
            </m:rPr>
            <m:t>,</m:t>
          </m:r>
          <m:r>
            <m:t>59</m:t>
          </m:r>
          <m:r>
            <m:t> </m:t>
          </m:r>
          <m:r>
            <m:t>W</m:t>
          </m:r>
          <m:r>
            <m:rPr>
              <m:sty m:val="p"/>
            </m:rPr>
            <m:t>/</m:t>
          </m:r>
          <m:r>
            <m:t>m</m:t>
          </m:r>
          <m:r>
            <m:rPr>
              <m:sty m:val="p"/>
            </m:rPr>
            <m:t>⋅</m:t>
          </m:r>
          <m:r>
            <m:t>K</m:t>
          </m:r>
        </m:oMath>
      </m:oMathPara>
    </w:p>
    <w:p>
      <w:pPr>
        <w:pStyle w:val="FirstParagraph"/>
      </w:pPr>
      <w:r>
        <w:t xml:space="preserve">L’écart relatif est de</w:t>
      </w:r>
      <w:r>
        <w:t xml:space="preserve"> </w:t>
      </w:r>
      <m:oMath>
        <m:r>
          <m:t>ϵ</m:t>
        </m:r>
        <m:r>
          <m:rPr>
            <m:sty m:val="p"/>
          </m:rPr>
          <m:t>≈</m:t>
        </m:r>
        <m:r>
          <m:t>1</m:t>
        </m:r>
        <m:r>
          <m:rPr>
            <m:sty m:val="p"/>
          </m:rPr>
          <m:t>,</m:t>
        </m:r>
        <m:r>
          <m:t>6</m:t>
        </m:r>
        <m:r>
          <m:rPr>
            <m:sty m:val="p"/>
          </m:rPr>
          <m:t>%</m:t>
        </m:r>
      </m:oMath>
      <w:r>
        <w:t xml:space="preserve">, imputable à la position des nœuds</w:t>
      </w:r>
      <w:r>
        <w:t xml:space="preserve"> </w:t>
      </w:r>
      <w:r>
        <w:t xml:space="preserve">aux centres des demi-mailles aux bords. La validation est concluante.</w:t>
      </w:r>
    </w:p>
    <w:bookmarkEnd w:id="34"/>
    <w:bookmarkEnd w:id="35"/>
    <w:bookmarkEnd w:id="36"/>
    <w:bookmarkStart w:id="40" w:name="Xce5f043d03eed125a1b9c47d1ab69c0598a36a7"/>
    <w:p>
      <w:pPr>
        <w:pStyle w:val="Heading1"/>
      </w:pPr>
      <w:r>
        <w:rPr>
          <w:rStyle w:val="SectionNumber"/>
        </w:rPr>
        <w:t xml:space="preserve">6</w:t>
      </w:r>
      <w:r>
        <w:tab/>
      </w:r>
      <w:r>
        <w:t xml:space="preserve">Objectif 3 — Assemblage de 50 cellules - Batterie complète</w:t>
      </w:r>
    </w:p>
    <w:bookmarkStart w:id="37" w:name="modèle-de-lassemblage"/>
    <w:p>
      <w:pPr>
        <w:pStyle w:val="Heading2"/>
      </w:pPr>
      <w:r>
        <w:rPr>
          <w:rStyle w:val="SectionNumber"/>
        </w:rPr>
        <w:t xml:space="preserve">6.1</w:t>
      </w:r>
      <w:r>
        <w:tab/>
      </w:r>
      <w:r>
        <w:t xml:space="preserve">Modèle de l’assemblage</w:t>
      </w:r>
    </w:p>
    <w:p>
      <w:pPr>
        <w:pStyle w:val="FirstParagraph"/>
      </w:pPr>
      <w:r>
        <w:t xml:space="preserve">L’assemblage est modélisé comme un milieu homogène continu de même propriétés (</w:t>
      </w:r>
      <m:oMath>
        <m:sSub>
          <m:e>
            <m:r>
              <m:t>K</m:t>
            </m:r>
          </m:e>
          <m:sub>
            <m:r>
              <m:t>e</m:t>
            </m:r>
            <m:r>
              <m:t>q</m:t>
            </m:r>
          </m:sub>
        </m:sSub>
      </m:oMath>
      <w:r>
        <w:t xml:space="preserve">,</w:t>
      </w:r>
      <w:r>
        <w:t xml:space="preserve"> </w:t>
      </w:r>
      <m:oMath>
        <m:sSub>
          <m:e>
            <m:r>
              <m:t>S</m:t>
            </m:r>
          </m:e>
          <m:sub>
            <m:r>
              <m:t>e</m:t>
            </m:r>
            <m:r>
              <m:t>q</m:t>
            </m:r>
          </m:sub>
        </m:sSub>
      </m:oMath>
      <w:r>
        <w:t xml:space="preserve">) sur l’épaisseur totale</w:t>
      </w:r>
      <w:r>
        <w:t xml:space="preserve"> </w:t>
      </w:r>
      <m:oMath>
        <m:sSub>
          <m:e>
            <m:r>
              <m:t>L</m:t>
            </m:r>
          </m:e>
          <m:sub>
            <m:r>
              <m:t>a</m:t>
            </m:r>
            <m:r>
              <m:t>s</m:t>
            </m:r>
            <m:r>
              <m:t>m</m:t>
            </m:r>
          </m:sub>
        </m:sSub>
        <m:r>
          <m:rPr>
            <m:sty m:val="p"/>
          </m:rPr>
          <m:t>=</m:t>
        </m:r>
        <m:r>
          <m:t>50</m:t>
        </m:r>
        <m:r>
          <m:rPr>
            <m:sty m:val="p"/>
          </m:rPr>
          <m:t>⋅</m:t>
        </m:r>
        <m:r>
          <m:t>250</m:t>
        </m:r>
        <m:r>
          <m:t>μ</m:t>
        </m:r>
        <m:r>
          <m:t>m</m:t>
        </m:r>
        <m:r>
          <m:rPr>
            <m:sty m:val="p"/>
          </m:rPr>
          <m:t>=</m:t>
        </m:r>
        <m:r>
          <m:t>12</m:t>
        </m:r>
        <m:r>
          <m:rPr>
            <m:sty m:val="p"/>
          </m:rPr>
          <m:t>,</m:t>
        </m:r>
        <m:r>
          <m:t>5</m:t>
        </m:r>
        <m:r>
          <m:t>m</m:t>
        </m:r>
        <m:r>
          <m:t>m</m:t>
        </m:r>
      </m:oMath>
      <w:r>
        <w:t xml:space="preserve">. Le refroidissement est symétrique (convection sur les deux faces), avec un fluide à</w:t>
      </w:r>
      <w:r>
        <w:t xml:space="preserve"> </w:t>
      </w:r>
      <m:oMath>
        <m:sSub>
          <m:e>
            <m:r>
              <m:t>T</m:t>
            </m:r>
          </m:e>
          <m:sub>
            <m:r>
              <m:t>f</m:t>
            </m:r>
          </m:sub>
        </m:sSub>
      </m:oMath>
      <w:r>
        <w:t xml:space="preserve"> </w:t>
      </w:r>
      <w:r>
        <w:t xml:space="preserve">= 40 °C.</w:t>
      </w:r>
    </w:p>
    <w:bookmarkEnd w:id="37"/>
    <w:bookmarkStart w:id="38" w:name="détermination-du-coefficient-h-minimal"/>
    <w:p>
      <w:pPr>
        <w:pStyle w:val="Heading2"/>
      </w:pPr>
      <w:r>
        <w:rPr>
          <w:rStyle w:val="SectionNumber"/>
        </w:rPr>
        <w:t xml:space="preserve">6.2</w:t>
      </w:r>
      <w:r>
        <w:tab/>
      </w:r>
      <w:r>
        <w:t xml:space="preserve">Détermination du coefficient h minimal</w:t>
      </w:r>
    </w:p>
    <w:p>
      <w:pPr>
        <w:pStyle w:val="FirstParagraph"/>
      </w:pPr>
      <w:r>
        <w:t xml:space="preserve">Les simulations sont réalisées pour différentes valeurs de h. Les critères de sécurité retenus sont (d’après l’annexe du sujet et Battery University BU-808) :</w:t>
      </w:r>
    </w:p>
    <w:p>
      <w:pPr>
        <w:numPr>
          <w:ilvl w:val="0"/>
          <w:numId w:val="1004"/>
        </w:numPr>
        <w:pStyle w:val="Compact"/>
      </w:pPr>
      <w:r>
        <w:t xml:space="preserve">Température interne recommandée en fonctionnement de charge : idéalement 15 à 35 °C</w:t>
      </w:r>
    </w:p>
    <w:p>
      <w:pPr>
        <w:numPr>
          <w:ilvl w:val="0"/>
          <w:numId w:val="1004"/>
        </w:numPr>
        <w:pStyle w:val="Compact"/>
      </w:pPr>
      <w:r>
        <w:t xml:space="preserve">Limite de conception conservatrice :</w:t>
      </w:r>
      <w:r>
        <w:t xml:space="preserve"> </w:t>
      </w:r>
      <m:oMath>
        <m:sSub>
          <m:e>
            <m:r>
              <m:t>T</m:t>
            </m:r>
          </m:e>
          <m:sub>
            <m:r>
              <m:t>i</m:t>
            </m:r>
            <m:r>
              <m:t>n</m:t>
            </m:r>
            <m:r>
              <m:t>t</m:t>
            </m:r>
            <m:r>
              <m:rPr>
                <m:sty m:val="p"/>
              </m:rPr>
              <m:t>,</m:t>
            </m:r>
            <m:r>
              <m:t>m</m:t>
            </m:r>
            <m:r>
              <m:t>a</m:t>
            </m:r>
            <m:r>
              <m:t>x</m:t>
            </m:r>
          </m:sub>
        </m:sSub>
        <m:r>
          <m:rPr>
            <m:sty m:val="p"/>
          </m:rPr>
          <m:t>≤</m:t>
        </m:r>
        <m:r>
          <m:t>45</m:t>
        </m:r>
      </m:oMath>
      <w:r>
        <w:t xml:space="preserve"> </w:t>
      </w:r>
      <w:r>
        <w:t xml:space="preserve">°C.</w:t>
      </w:r>
    </w:p>
    <w:p>
      <w:pPr>
        <w:numPr>
          <w:ilvl w:val="0"/>
          <w:numId w:val="1004"/>
        </w:numPr>
        <w:pStyle w:val="Compact"/>
      </w:pPr>
      <w:r>
        <w:t xml:space="preserve">Limite haute absolue en fonctionnement normal :</w:t>
      </w:r>
      <w:r>
        <w:t xml:space="preserve"> </w:t>
      </w:r>
      <m:oMath>
        <m:sSub>
          <m:e>
            <m:r>
              <m:t>T</m:t>
            </m:r>
          </m:e>
          <m:sub>
            <m:r>
              <m:t>i</m:t>
            </m:r>
            <m:r>
              <m:t>n</m:t>
            </m:r>
            <m:r>
              <m:t>t</m:t>
            </m:r>
            <m:r>
              <m:rPr>
                <m:sty m:val="p"/>
              </m:rPr>
              <m:t>,</m:t>
            </m:r>
            <m:r>
              <m:t>m</m:t>
            </m:r>
            <m:r>
              <m:t>a</m:t>
            </m:r>
            <m:r>
              <m:t>x</m:t>
            </m:r>
          </m:sub>
        </m:sSub>
        <m:r>
          <m:rPr>
            <m:sty m:val="p"/>
          </m:rPr>
          <m:t>≤</m:t>
        </m:r>
        <m:r>
          <m:t>60</m:t>
        </m:r>
      </m:oMath>
      <w:r>
        <w:t xml:space="preserve"> </w:t>
      </w:r>
      <w:r>
        <w:t xml:space="preserve">°C</w:t>
      </w:r>
    </w:p>
    <w:p>
      <w:pPr>
        <w:numPr>
          <w:ilvl w:val="0"/>
          <w:numId w:val="1004"/>
        </w:numPr>
        <w:pStyle w:val="Compact"/>
      </w:pPr>
      <w:r>
        <w:t xml:space="preserve">Seuil critique du matériau : shutdown du séparateur vers 120 à 135 °C</w:t>
      </w:r>
    </w:p>
    <w:p>
      <w:pPr>
        <w:pStyle w:val="FirstParagraph"/>
      </w:pPr>
      <w:r>
        <w:t xml:space="preserve">Pour ces différentes simulations, j’ai lancé le code Fortran en modifiant à chaque fois le type de charge (lente/rapide) ainsi que les coefficients h de chaque côté de la cellule. J’ai ensuite extrait la valeur de la température max dans la batterie.</w:t>
      </w:r>
    </w:p>
    <w:p>
      <w:pPr>
        <w:pStyle w:val="BodyText"/>
      </w:pPr>
      <w:r>
        <w:rPr>
          <w:bCs/>
          <w:b/>
        </w:rPr>
        <w:t xml:space="preserve">Résultat clé :</w:t>
      </w:r>
      <w:r>
        <w:t xml:space="preserve"> </w:t>
      </w:r>
      <w:r>
        <w:t xml:space="preserve">Pour la charge lente, le critère</w:t>
      </w:r>
      <w:r>
        <w:t xml:space="preserve"> </w:t>
      </w:r>
      <m:oMath>
        <m:r>
          <m:t>T</m:t>
        </m:r>
        <m:r>
          <m:rPr>
            <m:sty m:val="p"/>
          </m:rPr>
          <m:t>≤</m:t>
        </m:r>
        <m:r>
          <m:t>45</m:t>
        </m:r>
      </m:oMath>
      <w:r>
        <w:t xml:space="preserve"> </w:t>
      </w:r>
      <w:r>
        <w:t xml:space="preserve">°C est satisfait dès</w:t>
      </w:r>
      <w:r>
        <w:t xml:space="preserve"> </w:t>
      </w:r>
      <m:oMath>
        <m:r>
          <m:t>h</m:t>
        </m:r>
        <m:r>
          <m:rPr>
            <m:sty m:val="p"/>
          </m:rPr>
          <m:t>=</m:t>
        </m:r>
        <m:r>
          <m:t>5</m:t>
        </m:r>
        <m:r>
          <m:t>W</m:t>
        </m:r>
        <m:r>
          <m:rPr>
            <m:sty m:val="p"/>
          </m:rPr>
          <m:t>/</m:t>
        </m:r>
        <m:sSup>
          <m:e>
            <m:r>
              <m:t>m</m:t>
            </m:r>
          </m:e>
          <m:sup>
            <m:r>
              <m:t>2</m:t>
            </m:r>
          </m:sup>
        </m:sSup>
        <m:r>
          <m:t>K</m:t>
        </m:r>
      </m:oMath>
      <w:r>
        <w:t xml:space="preserve"> </w:t>
      </w:r>
      <w:r>
        <w:t xml:space="preserve">(convection naturelle). Pour la charge rapide, il faut</w:t>
      </w:r>
      <w:r>
        <w:t xml:space="preserve"> </w:t>
      </w:r>
      <m:oMath>
        <m:r>
          <m:t>h</m:t>
        </m:r>
        <m:r>
          <m:rPr>
            <m:sty m:val="p"/>
          </m:rPr>
          <m:t>≥</m:t>
        </m:r>
        <m:r>
          <m:t>50</m:t>
        </m:r>
        <m:r>
          <m:t>W</m:t>
        </m:r>
        <m:r>
          <m:rPr>
            <m:sty m:val="p"/>
          </m:rPr>
          <m:t>/</m:t>
        </m:r>
        <m:sSup>
          <m:e>
            <m:r>
              <m:t>m</m:t>
            </m:r>
          </m:e>
          <m:sup>
            <m:r>
              <m:t>2</m:t>
            </m:r>
          </m:sup>
        </m:sSup>
        <m:r>
          <m:t>K</m:t>
        </m:r>
      </m:oMath>
      <w:r>
        <w:t xml:space="preserve"> </w:t>
      </w:r>
      <w:r>
        <w:t xml:space="preserve">pour satisfaire la limite de conception de 45°C - ce qui correspond à une convection forcée modérée (air ou liquide). En pratique industrielle,</w:t>
      </w:r>
      <w:r>
        <w:t xml:space="preserve"> </w:t>
      </w:r>
      <m:oMath>
        <m:r>
          <m:t>h</m:t>
        </m:r>
        <m:r>
          <m:rPr>
            <m:sty m:val="p"/>
          </m:rPr>
          <m:t>≈</m:t>
        </m:r>
        <m:r>
          <m:t>100</m:t>
        </m:r>
        <m:r>
          <m:rPr>
            <m:sty m:val="p"/>
          </m:rPr>
          <m:t>−</m:t>
        </m:r>
        <m:r>
          <m:t>500</m:t>
        </m:r>
        <m:r>
          <m:t>W</m:t>
        </m:r>
        <m:r>
          <m:rPr>
            <m:sty m:val="p"/>
          </m:rPr>
          <m:t>/</m:t>
        </m:r>
        <m:sSup>
          <m:e>
            <m:r>
              <m:t>m</m:t>
            </m:r>
          </m:e>
          <m:sup>
            <m:r>
              <m:t>2</m:t>
            </m:r>
          </m:sup>
        </m:sSup>
        <m:r>
          <m:t>K</m:t>
        </m:r>
      </m:oMath>
      <w:r>
        <w:t xml:space="preserve"> </w:t>
      </w:r>
      <w:r>
        <w:t xml:space="preserve">est typique pour un refroidissement par plaque froide à eau, ce qui assure une marge de sécurité confortable même en charge rapide.</w:t>
      </w:r>
    </w:p>
    <w:bookmarkEnd w:id="38"/>
    <w:bookmarkStart w:id="39" w:name="profils-de-température-dans-lassemblage"/>
    <w:p>
      <w:pPr>
        <w:pStyle w:val="Heading2"/>
      </w:pPr>
      <w:r>
        <w:rPr>
          <w:rStyle w:val="SectionNumber"/>
        </w:rPr>
        <w:t xml:space="preserve">6.3</w:t>
      </w:r>
      <w:r>
        <w:tab/>
      </w:r>
      <w:r>
        <w:t xml:space="preserve">Profils de température dans l’assemblage</w:t>
      </w:r>
    </w:p>
    <w:p>
      <w:pPr>
        <w:pStyle w:val="FirstParagraph"/>
      </w:pPr>
      <w:r>
        <w:t xml:space="preserve">Le profil de température est parabolique avec un maximum en cœur d’assemblage, conformément à la solution analytique d’un milieu homogène avec source uniforme et convection symétrique. La position du maximum au centre (x =</w:t>
      </w:r>
      <w:r>
        <w:t xml:space="preserve"> </w:t>
      </w:r>
      <m:oMath>
        <m:f>
          <m:fPr>
            <m:type m:val="bar"/>
          </m:fPr>
          <m:num>
            <m:sSub>
              <m:e>
                <m:r>
                  <m:t>L</m:t>
                </m:r>
              </m:e>
              <m:sub>
                <m:r>
                  <m:t>a</m:t>
                </m:r>
                <m:r>
                  <m:t>s</m:t>
                </m:r>
                <m:r>
                  <m:t>m</m:t>
                </m:r>
              </m:sub>
            </m:sSub>
          </m:num>
          <m:den>
            <m:r>
              <m:t>2</m:t>
            </m:r>
          </m:den>
        </m:f>
      </m:oMath>
      <w:r>
        <w:t xml:space="preserve">) est cohérente avec la symétrie du problème.</w:t>
      </w:r>
    </w:p>
    <w:bookmarkEnd w:id="39"/>
    <w:bookmarkEnd w:id="40"/>
    <w:bookmarkStart w:id="46" w:name="X262b33de14e9cc59af4b03d8c9f024f00c580c0"/>
    <w:p>
      <w:pPr>
        <w:pStyle w:val="Heading1"/>
      </w:pPr>
      <w:r>
        <w:rPr>
          <w:rStyle w:val="SectionNumber"/>
        </w:rPr>
        <w:t xml:space="preserve">7</w:t>
      </w:r>
      <w:r>
        <w:tab/>
      </w:r>
      <w:r>
        <w:t xml:space="preserve">Objectif 4 — Résistance de contact entre cellules</w:t>
      </w:r>
    </w:p>
    <w:bookmarkStart w:id="41" w:name="modélisation-de-la-résistance-de-contact"/>
    <w:p>
      <w:pPr>
        <w:pStyle w:val="Heading2"/>
      </w:pPr>
      <w:r>
        <w:rPr>
          <w:rStyle w:val="SectionNumber"/>
        </w:rPr>
        <w:t xml:space="preserve">7.1</w:t>
      </w:r>
      <w:r>
        <w:tab/>
      </w:r>
      <w:r>
        <w:t xml:space="preserve">Modélisation de la résistance de contact</w:t>
      </w:r>
    </w:p>
    <w:p>
      <w:pPr>
        <w:pStyle w:val="FirstParagraph"/>
      </w:pPr>
      <w:r>
        <w:t xml:space="preserve">Dans un assemblage réel de batteries lithium-ion, les cellules ne sont pas en contact</w:t>
      </w:r>
      <w:r>
        <w:t xml:space="preserve"> </w:t>
      </w:r>
      <w:r>
        <w:t xml:space="preserve">parfait les unes avec les autres. L’interface entre deux cellules successives introduit</w:t>
      </w:r>
      <w:r>
        <w:t xml:space="preserve"> </w:t>
      </w:r>
      <w:r>
        <w:t xml:space="preserve">une</w:t>
      </w:r>
      <w:r>
        <w:t xml:space="preserve"> </w:t>
      </w:r>
      <w:r>
        <w:rPr>
          <w:bCs/>
          <w:b/>
        </w:rPr>
        <w:t xml:space="preserve">résistance thermique de contact</w:t>
      </w:r>
      <w:r>
        <w:t xml:space="preserve"> </w:t>
      </w:r>
      <m:oMath>
        <m:sSub>
          <m:e>
            <m:r>
              <m:t>R</m:t>
            </m:r>
          </m:e>
          <m:sub>
            <m:r>
              <m:t>c</m:t>
            </m:r>
          </m:sub>
        </m:sSub>
      </m:oMath>
      <w:r>
        <w:t xml:space="preserve"> </w:t>
      </w:r>
      <w:r>
        <w:t xml:space="preserve">(en</w:t>
      </w:r>
      <w:r>
        <w:t xml:space="preserve"> </w:t>
      </w:r>
      <m:oMath>
        <m:sSup>
          <m:e>
            <m:r>
              <m:t>m</m:t>
            </m:r>
          </m:e>
          <m:sup>
            <m:r>
              <m:t>2</m:t>
            </m:r>
          </m:sup>
        </m:sSup>
        <m:r>
          <m:t>K</m:t>
        </m:r>
        <m:r>
          <m:rPr>
            <m:sty m:val="p"/>
          </m:rPr>
          <m:t>/</m:t>
        </m:r>
        <m:r>
          <m:t>W</m:t>
        </m:r>
      </m:oMath>
      <w:r>
        <w:t xml:space="preserve">), due aux irrégularités de</w:t>
      </w:r>
      <w:r>
        <w:t xml:space="preserve"> </w:t>
      </w:r>
      <w:r>
        <w:t xml:space="preserve">surface, aux couches d’oxyde et à l’absence de continuité du matériau conducteur.</w:t>
      </w:r>
      <w:r>
        <w:t xml:space="preserve"> </w:t>
      </w:r>
      <w:r>
        <w:t xml:space="preserve">Cette résistance, souvent négligée en première approximation, peut devenir significative</w:t>
      </w:r>
      <w:r>
        <w:t xml:space="preserve"> </w:t>
      </w:r>
      <w:r>
        <w:t xml:space="preserve">dans un assemblage dense où les interfaces sont nombreuses. Elle est modélisée ici comme</w:t>
      </w:r>
      <w:r>
        <w:t xml:space="preserve"> </w:t>
      </w:r>
      <w:r>
        <w:t xml:space="preserve">une couche fictive homogène d’épaisseur</w:t>
      </w:r>
      <w:r>
        <w:t xml:space="preserve"> </w:t>
      </w:r>
      <m:oMath>
        <m:sSub>
          <m:e>
            <m:r>
              <m:t>e</m:t>
            </m:r>
          </m:e>
          <m:sub>
            <m:r>
              <m:t>c</m:t>
            </m:r>
          </m:sub>
        </m:sSub>
        <m:r>
          <m:rPr>
            <m:sty m:val="p"/>
          </m:rPr>
          <m:t>=</m:t>
        </m:r>
        <m:r>
          <m:t>1</m:t>
        </m:r>
        <m:r>
          <m:t> </m:t>
        </m:r>
        <m:r>
          <m:t>μ</m:t>
        </m:r>
        <m:r>
          <m:t>m</m:t>
        </m:r>
      </m:oMath>
      <w:r>
        <w:t xml:space="preserve"> </w:t>
      </w:r>
      <w:r>
        <w:t xml:space="preserve">et de conductivité :</w:t>
      </w:r>
    </w:p>
    <w:p>
      <w:pPr>
        <w:pStyle w:val="BodyText"/>
      </w:pPr>
      <m:oMathPara>
        <m:oMathParaPr>
          <m:jc m:val="center"/>
        </m:oMathParaPr>
        <m:oMath>
          <m:sSub>
            <m:e>
              <m:r>
                <m:t>λ</m:t>
              </m:r>
            </m:e>
            <m:sub>
              <m:r>
                <m:t>c</m:t>
              </m:r>
            </m:sub>
          </m:sSub>
          <m:r>
            <m:rPr>
              <m:sty m:val="p"/>
            </m:rPr>
            <m:t>=</m:t>
          </m:r>
          <m:f>
            <m:fPr>
              <m:type m:val="bar"/>
            </m:fPr>
            <m:num>
              <m:sSub>
                <m:e>
                  <m:r>
                    <m:t>e</m:t>
                  </m:r>
                </m:e>
                <m:sub>
                  <m:r>
                    <m:t>c</m:t>
                  </m:r>
                </m:sub>
              </m:sSub>
            </m:num>
            <m:den>
              <m:sSub>
                <m:e>
                  <m:r>
                    <m:t>R</m:t>
                  </m:r>
                </m:e>
                <m:sub>
                  <m:r>
                    <m:t>c</m:t>
                  </m:r>
                </m:sub>
              </m:sSub>
            </m:den>
          </m:f>
        </m:oMath>
      </m:oMathPara>
    </w:p>
    <w:p>
      <w:pPr>
        <w:pStyle w:val="FirstParagraph"/>
      </w:pPr>
      <w:r>
        <w:t xml:space="preserve">Le choix de</w:t>
      </w:r>
      <w:r>
        <w:t xml:space="preserve"> </w:t>
      </w:r>
      <m:oMath>
        <m:sSub>
          <m:e>
            <m:r>
              <m:t>e</m:t>
            </m:r>
          </m:e>
          <m:sub>
            <m:r>
              <m:t>c</m:t>
            </m:r>
          </m:sub>
        </m:sSub>
        <m:r>
          <m:rPr>
            <m:sty m:val="p"/>
          </m:rPr>
          <m:t>=</m:t>
        </m:r>
        <m:r>
          <m:t>1</m:t>
        </m:r>
        <m:r>
          <m:t> </m:t>
        </m:r>
        <m:r>
          <m:t>μ</m:t>
        </m:r>
        <m:r>
          <m:t>m</m:t>
        </m:r>
      </m:oMath>
      <w:r>
        <w:t xml:space="preserve"> </w:t>
      </w:r>
      <w:r>
        <w:t xml:space="preserve">est arbitraire : seul le rapport</w:t>
      </w:r>
      <w:r>
        <w:t xml:space="preserve"> </w:t>
      </w:r>
      <m:oMath>
        <m:sSub>
          <m:e>
            <m:r>
              <m:t>e</m:t>
            </m:r>
          </m:e>
          <m:sub>
            <m:r>
              <m:t>c</m:t>
            </m:r>
          </m:sub>
        </m:sSub>
        <m:r>
          <m:rPr>
            <m:sty m:val="p"/>
          </m:rPr>
          <m:t>/</m:t>
        </m:r>
        <m:sSub>
          <m:e>
            <m:r>
              <m:t>λ</m:t>
            </m:r>
          </m:e>
          <m:sub>
            <m:r>
              <m:t>c</m:t>
            </m:r>
          </m:sub>
        </m:sSub>
        <m:r>
          <m:rPr>
            <m:sty m:val="p"/>
          </m:rPr>
          <m:t>=</m:t>
        </m:r>
        <m:sSub>
          <m:e>
            <m:r>
              <m:t>R</m:t>
            </m:r>
          </m:e>
          <m:sub>
            <m:r>
              <m:t>c</m:t>
            </m:r>
          </m:sub>
        </m:sSub>
      </m:oMath>
      <w:r>
        <w:t xml:space="preserve"> </w:t>
      </w:r>
      <w:r>
        <w:t xml:space="preserve">a une signification physique. Cette épaisseur est retenue car elle est du même ordre</w:t>
      </w:r>
      <w:r>
        <w:t xml:space="preserve"> </w:t>
      </w:r>
      <w:r>
        <w:t xml:space="preserve">que les couches réelles de la cellule, ce qui assure la cohérence du maillage, et</w:t>
      </w:r>
      <w:r>
        <w:t xml:space="preserve"> </w:t>
      </w:r>
      <w:r>
        <w:t xml:space="preserve">suffisamment faible pour ne pas perturber l’épaisseur totale de l’assemblage</w:t>
      </w:r>
      <w:r>
        <w:t xml:space="preserve"> </w:t>
      </w:r>
      <w:r>
        <w:t xml:space="preserve">(50 interfaces</w:t>
      </w:r>
      <w:r>
        <w:t xml:space="preserve"> </w:t>
      </w:r>
      <m:oMath>
        <m:r>
          <m:rPr>
            <m:sty m:val="p"/>
          </m:rPr>
          <m:t>×</m:t>
        </m:r>
      </m:oMath>
      <w:r>
        <w:t xml:space="preserve"> </w:t>
      </w:r>
      <w:r>
        <w:t xml:space="preserve">1 µm = 50 µm, négligeable devant</w:t>
      </w:r>
      <w:r>
        <w:t xml:space="preserve"> </w:t>
      </w:r>
      <m:oMath>
        <m:sSub>
          <m:e>
            <m:r>
              <m:t>L</m:t>
            </m:r>
          </m:e>
          <m:sub>
            <m:r>
              <m:t>a</m:t>
            </m:r>
            <m:r>
              <m:t>s</m:t>
            </m:r>
            <m:r>
              <m:t>m</m:t>
            </m:r>
          </m:sub>
        </m:sSub>
        <m:r>
          <m:rPr>
            <m:sty m:val="p"/>
          </m:rPr>
          <m:t>=</m:t>
        </m:r>
        <m:r>
          <m:t>12</m:t>
        </m:r>
        <m:r>
          <m:rPr>
            <m:sty m:val="p"/>
          </m:rPr>
          <m:t>,</m:t>
        </m:r>
        <m:r>
          <m:t>5</m:t>
        </m:r>
      </m:oMath>
      <w:r>
        <w:t xml:space="preserve"> </w:t>
      </w:r>
      <w:r>
        <w:t xml:space="preserve">mm).</w:t>
      </w:r>
      <w:r>
        <w:t xml:space="preserve"> </w:t>
      </w:r>
      <w:r>
        <w:t xml:space="preserve">La conductivité associée est donc imposée par :</w:t>
      </w:r>
    </w:p>
    <w:p>
      <w:pPr>
        <w:pStyle w:val="BodyText"/>
      </w:pPr>
      <m:oMathPara>
        <m:oMathParaPr>
          <m:jc m:val="center"/>
        </m:oMathParaPr>
        <m:oMath>
          <m:sSub>
            <m:e>
              <m:r>
                <m:t>λ</m:t>
              </m:r>
            </m:e>
            <m:sub>
              <m:r>
                <m:t>c</m:t>
              </m:r>
            </m:sub>
          </m:sSub>
          <m:r>
            <m:rPr>
              <m:sty m:val="p"/>
            </m:rPr>
            <m:t>=</m:t>
          </m:r>
          <m:f>
            <m:fPr>
              <m:type m:val="bar"/>
            </m:fPr>
            <m:num>
              <m:sSub>
                <m:e>
                  <m:r>
                    <m:t>e</m:t>
                  </m:r>
                </m:e>
                <m:sub>
                  <m:r>
                    <m:t>c</m:t>
                  </m:r>
                </m:sub>
              </m:sSub>
            </m:num>
            <m:den>
              <m:sSub>
                <m:e>
                  <m:r>
                    <m:t>R</m:t>
                  </m:r>
                </m:e>
                <m:sub>
                  <m:r>
                    <m:t>c</m:t>
                  </m:r>
                </m:sub>
              </m:sSub>
            </m:den>
          </m:f>
          <m:r>
            <m:rPr>
              <m:sty m:val="p"/>
            </m:rPr>
            <m:t>=</m:t>
          </m:r>
          <m:f>
            <m:fPr>
              <m:type m:val="bar"/>
            </m:fPr>
            <m:num>
              <m:r>
                <m:t>1</m:t>
              </m:r>
              <m:r>
                <m:rPr>
                  <m:sty m:val="p"/>
                </m:rPr>
                <m:t>×</m:t>
              </m:r>
              <m:sSup>
                <m:e>
                  <m:r>
                    <m:t>10</m:t>
                  </m:r>
                </m:e>
                <m:sup>
                  <m:r>
                    <m:rPr>
                      <m:sty m:val="p"/>
                    </m:rPr>
                    <m:t>−</m:t>
                  </m:r>
                  <m:r>
                    <m:t>6</m:t>
                  </m:r>
                </m:sup>
              </m:sSup>
            </m:num>
            <m:den>
              <m:r>
                <m:t>1</m:t>
              </m:r>
              <m:r>
                <m:rPr>
                  <m:sty m:val="p"/>
                </m:rPr>
                <m:t>×</m:t>
              </m:r>
              <m:sSup>
                <m:e>
                  <m:r>
                    <m:t>10</m:t>
                  </m:r>
                </m:e>
                <m:sup>
                  <m:r>
                    <m:rPr>
                      <m:sty m:val="p"/>
                    </m:rPr>
                    <m:t>−</m:t>
                  </m:r>
                  <m:r>
                    <m:t>3</m:t>
                  </m:r>
                </m:sup>
              </m:sSup>
            </m:den>
          </m:f>
          <m:r>
            <m:rPr>
              <m:sty m:val="p"/>
            </m:rPr>
            <m:t>=</m:t>
          </m:r>
          <m:sSup>
            <m:e>
              <m:r>
                <m:t>10</m:t>
              </m:r>
            </m:e>
            <m:sup>
              <m:r>
                <m:rPr>
                  <m:sty m:val="p"/>
                </m:rPr>
                <m:t>−</m:t>
              </m:r>
              <m:r>
                <m:t>3</m:t>
              </m:r>
            </m:sup>
          </m:sSup>
          <m:r>
            <m:t> </m:t>
          </m:r>
          <m:r>
            <m:rPr>
              <m:nor/>
              <m:sty m:val="p"/>
            </m:rPr>
            <m:t>W/m·K</m:t>
          </m:r>
        </m:oMath>
      </m:oMathPara>
    </w:p>
    <w:p>
      <w:pPr>
        <w:pStyle w:val="FirstParagraph"/>
      </w:pPr>
      <w:r>
        <w:t xml:space="preserve">La valeur</w:t>
      </w:r>
      <w:r>
        <w:t xml:space="preserve"> </w:t>
      </w:r>
      <m:oMath>
        <m:sSub>
          <m:e>
            <m:r>
              <m:t>R</m:t>
            </m:r>
          </m:e>
          <m:sub>
            <m:r>
              <m:t>c</m:t>
            </m:r>
          </m:sub>
        </m:sSub>
        <m:r>
          <m:rPr>
            <m:sty m:val="p"/>
          </m:rPr>
          <m:t>=</m:t>
        </m:r>
        <m:sSup>
          <m:e>
            <m:r>
              <m:t>10</m:t>
            </m:r>
          </m:e>
          <m:sup>
            <m:r>
              <m:rPr>
                <m:sty m:val="p"/>
              </m:rPr>
              <m:t>−</m:t>
            </m:r>
            <m:r>
              <m:t>3</m:t>
            </m:r>
          </m:sup>
        </m:sSup>
        <m:r>
          <m:t> </m:t>
        </m:r>
        <m:sSup>
          <m:e>
            <m:r>
              <m:rPr>
                <m:nor/>
                <m:sty m:val="p"/>
              </m:rPr>
              <m:t>m</m:t>
            </m:r>
          </m:e>
          <m:sup>
            <m:r>
              <m:t>2</m:t>
            </m:r>
          </m:sup>
        </m:sSup>
        <m:r>
          <m:rPr>
            <m:nor/>
            <m:sty m:val="p"/>
          </m:rPr>
          <m:t>K/W</m:t>
        </m:r>
      </m:oMath>
      <w:r>
        <w:t xml:space="preserve"> </w:t>
      </w:r>
      <w:r>
        <w:t xml:space="preserve">retenue est un ordre de grandeur</w:t>
      </w:r>
      <w:r>
        <w:t xml:space="preserve"> </w:t>
      </w:r>
      <w:r>
        <w:t xml:space="preserve">représentatif d’un contact sec entre surfaces métalliques, en accord avec les données</w:t>
      </w:r>
      <w:r>
        <w:t xml:space="preserve"> </w:t>
      </w:r>
      <w:r>
        <w:t xml:space="preserve">de la littérature [Incropera &amp; DeWitt (Table 3.2,</w:t>
      </w:r>
      <w:r>
        <w:t xml:space="preserve"> </w:t>
      </w:r>
      <w:r>
        <w:rPr>
          <w:iCs/>
          <w:i/>
        </w:rPr>
        <w:t xml:space="preserve">Thermal contact conductance</w:t>
      </w:r>
      <w:r>
        <w:t xml:space="preserve">)]. La source volumique de la couche fictive est nulle (</w:t>
      </w:r>
      <m:oMath>
        <m:sSub>
          <m:e>
            <m:r>
              <m:t>S</m:t>
            </m:r>
          </m:e>
          <m:sub>
            <m:r>
              <m:t>c</m:t>
            </m:r>
          </m:sub>
        </m:sSub>
        <m:r>
          <m:rPr>
            <m:sty m:val="p"/>
          </m:rPr>
          <m:t>=</m:t>
        </m:r>
        <m:r>
          <m:t>0</m:t>
        </m:r>
      </m:oMath>
      <w:r>
        <w:t xml:space="preserve">),</w:t>
      </w:r>
      <w:r>
        <w:t xml:space="preserve"> </w:t>
      </w:r>
      <w:r>
        <w:t xml:space="preserve">l’interface mécanique entre cellules ne constituant pas une zone de génération de chaleur.</w:t>
      </w:r>
    </w:p>
    <w:p>
      <w:pPr>
        <w:pStyle w:val="BodyText"/>
      </w:pPr>
      <w:r>
        <w:t xml:space="preserve">Cette couche est donc insérée dans la simulation entre chaque paire de cellules successives dans le maillage multicouche.</w:t>
      </w:r>
    </w:p>
    <w:bookmarkEnd w:id="41"/>
    <w:bookmarkStart w:id="42" w:name="Xb4e99ef3ace86c8ff8bd52d445cfb3506773a32"/>
    <w:p>
      <w:pPr>
        <w:pStyle w:val="Heading2"/>
      </w:pPr>
      <w:r>
        <w:rPr>
          <w:rStyle w:val="SectionNumber"/>
        </w:rPr>
        <w:t xml:space="preserve">7.2</w:t>
      </w:r>
      <w:r>
        <w:tab/>
      </w:r>
      <w:r>
        <w:t xml:space="preserve">Profil de température sur 2 cellules avec résistance de contact</w:t>
      </w:r>
    </w:p>
    <w:p>
      <w:pPr>
        <w:pStyle w:val="FirstParagraph"/>
      </w:pPr>
      <w:r>
        <w:t xml:space="preserve">Le profil de température met en évidence une</w:t>
      </w:r>
      <w:r>
        <w:t xml:space="preserve"> </w:t>
      </w:r>
      <w:r>
        <w:rPr>
          <w:bCs/>
          <w:b/>
        </w:rPr>
        <w:t xml:space="preserve">discontinuité de pente</w:t>
      </w:r>
      <w:r>
        <w:t xml:space="preserve"> </w:t>
      </w:r>
      <w:r>
        <w:t xml:space="preserve">aux interfaces</w:t>
      </w:r>
      <w:r>
        <w:t xml:space="preserve"> </w:t>
      </w:r>
      <w:r>
        <w:t xml:space="preserve">entre cellules. Physiquement, le flux thermique étant continu, la chute de température</w:t>
      </w:r>
      <w:r>
        <w:t xml:space="preserve"> </w:t>
      </w:r>
      <w:r>
        <w:t xml:space="preserve">à l’interface vaut :</w:t>
      </w:r>
    </w:p>
    <w:p>
      <w:pPr>
        <w:pStyle w:val="BodyText"/>
      </w:pPr>
      <m:oMathPara>
        <m:oMathParaPr>
          <m:jc m:val="center"/>
        </m:oMathParaPr>
        <m:oMath>
          <m:r>
            <m:t>Δ</m:t>
          </m:r>
          <m:sSub>
            <m:e>
              <m:r>
                <m:t>T</m:t>
              </m:r>
            </m:e>
            <m:sub>
              <m:r>
                <m:t>c</m:t>
              </m:r>
              <m:r>
                <m:t>o</m:t>
              </m:r>
              <m:r>
                <m:t>n</m:t>
              </m:r>
              <m:r>
                <m:t>t</m:t>
              </m:r>
              <m:r>
                <m:t>a</m:t>
              </m:r>
              <m:r>
                <m:t>c</m:t>
              </m:r>
              <m:r>
                <m:t>t</m:t>
              </m:r>
            </m:sub>
          </m:sSub>
          <m:r>
            <m:rPr>
              <m:sty m:val="p"/>
            </m:rPr>
            <m:t>=</m:t>
          </m:r>
          <m:sSub>
            <m:e>
              <m:r>
                <m:t>R</m:t>
              </m:r>
            </m:e>
            <m:sub>
              <m:r>
                <m:t>c</m:t>
              </m:r>
            </m:sub>
          </m:sSub>
          <m:r>
            <m:rPr>
              <m:sty m:val="p"/>
            </m:rPr>
            <m:t>⋅</m:t>
          </m:r>
          <m:r>
            <m:t>φ</m:t>
          </m:r>
        </m:oMath>
      </m:oMathPara>
    </w:p>
    <w:p>
      <w:pPr>
        <w:pStyle w:val="FirstParagraph"/>
      </w:pPr>
      <w:r>
        <w:t xml:space="preserve">Plus</w:t>
      </w:r>
      <w:r>
        <w:t xml:space="preserve"> </w:t>
      </w:r>
      <m:oMath>
        <m:sSub>
          <m:e>
            <m:r>
              <m:t>R</m:t>
            </m:r>
          </m:e>
          <m:sub>
            <m:r>
              <m:t>c</m:t>
            </m:r>
          </m:sub>
        </m:sSub>
      </m:oMath>
      <w:r>
        <w:t xml:space="preserve"> </w:t>
      </w:r>
      <w:r>
        <w:t xml:space="preserve">est élevé, plus ce saut de température est marqué. À l’intérieur de chaque</w:t>
      </w:r>
      <w:r>
        <w:t xml:space="preserve"> </w:t>
      </w:r>
      <w:r>
        <w:t xml:space="preserve">cellule, le profil reste parabolique conformément aux résultats des objectifs précédents.</w:t>
      </w:r>
    </w:p>
    <w:bookmarkEnd w:id="42"/>
    <w:bookmarkStart w:id="43" w:name="Xb31fa330550da21d7e601929611f79b56c18e5b"/>
    <w:p>
      <w:pPr>
        <w:pStyle w:val="Heading2"/>
      </w:pPr>
      <w:r>
        <w:rPr>
          <w:rStyle w:val="SectionNumber"/>
        </w:rPr>
        <w:t xml:space="preserve">7.3</w:t>
      </w:r>
      <w:r>
        <w:tab/>
      </w:r>
      <w:r>
        <w:t xml:space="preserve">Profil de température sur 50 cellules avec résistance de contact</w:t>
      </w:r>
    </w:p>
    <w:p>
      <w:pPr>
        <w:pStyle w:val="FirstParagraph"/>
      </w:pPr>
      <w:r>
        <w:t xml:space="preserve">Sur l’assemblage complet de 50 cellules, les résistances de contact se manifestent sous</w:t>
      </w:r>
      <w:r>
        <w:t xml:space="preserve"> </w:t>
      </w:r>
      <w:r>
        <w:t xml:space="preserve">forme de</w:t>
      </w:r>
      <w:r>
        <w:t xml:space="preserve"> </w:t>
      </w:r>
      <w:r>
        <w:rPr>
          <w:bCs/>
          <w:b/>
        </w:rPr>
        <w:t xml:space="preserve">paliers de température</w:t>
      </w:r>
      <w:r>
        <w:t xml:space="preserve"> </w:t>
      </w:r>
      <w:r>
        <w:t xml:space="preserve">régulièrement espacés, superposés à l’enveloppe</w:t>
      </w:r>
      <w:r>
        <w:t xml:space="preserve"> </w:t>
      </w:r>
      <w:r>
        <w:t xml:space="preserve">parabolique globale. La température maximale en cœur d’assemblage est ainsi plus élevée</w:t>
      </w:r>
      <w:r>
        <w:t xml:space="preserve"> </w:t>
      </w:r>
      <w:r>
        <w:t xml:space="preserve">qu’en l’absence de résistances de contact, la résistance thermique totale de l’assemblage</w:t>
      </w:r>
      <w:r>
        <w:t xml:space="preserve"> </w:t>
      </w:r>
      <w:r>
        <w:t xml:space="preserve">étant augmentée par les 49 interfaces.</w:t>
      </w:r>
    </w:p>
    <w:bookmarkEnd w:id="43"/>
    <w:bookmarkStart w:id="44" w:name="X5c7edd97d9d3b40246c4ebfbad75e0aedea6323"/>
    <w:p>
      <w:pPr>
        <w:pStyle w:val="Heading2"/>
      </w:pPr>
      <w:r>
        <w:rPr>
          <w:rStyle w:val="SectionNumber"/>
        </w:rPr>
        <w:t xml:space="preserve">7.4</w:t>
      </w:r>
      <w:r>
        <w:tab/>
      </w:r>
      <w:r>
        <w:t xml:space="preserve">Conductivité équivalente de l’assemblage avec résistances de contact</w:t>
      </w:r>
    </w:p>
    <w:p>
      <w:pPr>
        <w:pStyle w:val="FirstParagraph"/>
      </w:pPr>
      <w:r>
        <w:t xml:space="preserve">Il est possible de définir une conductivité équivalente globale de l’assemblage incluant</w:t>
      </w:r>
      <w:r>
        <w:t xml:space="preserve"> </w:t>
      </w:r>
      <w:r>
        <w:t xml:space="preserve">les résistances de contact, par analogie avec les résistances en série :</w:t>
      </w:r>
    </w:p>
    <w:p>
      <w:pPr>
        <w:pStyle w:val="BodyText"/>
      </w:pPr>
      <m:oMathPara>
        <m:oMathParaPr>
          <m:jc m:val="center"/>
        </m:oMathParaPr>
        <m:oMath>
          <m:sSubSup>
            <m:e>
              <m:r>
                <m:t>R</m:t>
              </m:r>
            </m:e>
            <m:sub>
              <m:r>
                <m:t>t</m:t>
              </m:r>
              <m:r>
                <m:t>o</m:t>
              </m:r>
              <m:r>
                <m:t>t</m:t>
              </m:r>
            </m:sub>
            <m:sup>
              <m:r>
                <m:t>a</m:t>
              </m:r>
              <m:r>
                <m:t>s</m:t>
              </m:r>
              <m:r>
                <m:t>m</m:t>
              </m:r>
            </m:sup>
          </m:sSubSup>
          <m:r>
            <m:rPr>
              <m:sty m:val="p"/>
            </m:rPr>
            <m:t>=</m:t>
          </m:r>
          <m:sSub>
            <m:e>
              <m:r>
                <m:t>N</m:t>
              </m:r>
            </m:e>
            <m:sub>
              <m:r>
                <m:t>r</m:t>
              </m:r>
              <m:r>
                <m:t>e</m:t>
              </m:r>
              <m:r>
                <m:t>p</m:t>
              </m:r>
            </m:sub>
          </m:sSub>
          <m:r>
            <m:rPr>
              <m:sty m:val="p"/>
            </m:rPr>
            <m:t>⋅</m:t>
          </m:r>
          <m:f>
            <m:fPr>
              <m:type m:val="bar"/>
            </m:fPr>
            <m:num>
              <m:sSub>
                <m:e>
                  <m:r>
                    <m:t>L</m:t>
                  </m:r>
                </m:e>
                <m:sub>
                  <m:r>
                    <m:t>c</m:t>
                  </m:r>
                  <m:r>
                    <m:t>e</m:t>
                  </m:r>
                  <m:r>
                    <m:t>l</m:t>
                  </m:r>
                  <m:r>
                    <m:t>l</m:t>
                  </m:r>
                </m:sub>
              </m:sSub>
            </m:num>
            <m:den>
              <m:sSub>
                <m:e>
                  <m:r>
                    <m:t>K</m:t>
                  </m:r>
                </m:e>
                <m:sub>
                  <m:r>
                    <m:t>e</m:t>
                  </m:r>
                  <m:r>
                    <m:t>q</m:t>
                  </m:r>
                </m:sub>
              </m:sSub>
            </m:den>
          </m:f>
          <m:r>
            <m:rPr>
              <m:sty m:val="p"/>
            </m:rPr>
            <m:t>+</m:t>
          </m:r>
          <m:d>
            <m:dPr>
              <m:begChr m:val="("/>
              <m:endChr m:val=")"/>
              <m:sepChr m:val=""/>
              <m:grow/>
            </m:dPr>
            <m:e>
              <m:sSub>
                <m:e>
                  <m:r>
                    <m:t>N</m:t>
                  </m:r>
                </m:e>
                <m:sub>
                  <m:r>
                    <m:t>r</m:t>
                  </m:r>
                  <m:r>
                    <m:t>e</m:t>
                  </m:r>
                  <m:r>
                    <m:t>p</m:t>
                  </m:r>
                </m:sub>
              </m:sSub>
              <m:r>
                <m:rPr>
                  <m:sty m:val="p"/>
                </m:rPr>
                <m:t>−</m:t>
              </m:r>
              <m:r>
                <m:t>1</m:t>
              </m:r>
            </m:e>
          </m:d>
          <m:r>
            <m:rPr>
              <m:sty m:val="p"/>
            </m:rPr>
            <m:t>⋅</m:t>
          </m:r>
          <m:sSub>
            <m:e>
              <m:r>
                <m:t>R</m:t>
              </m:r>
            </m:e>
            <m:sub>
              <m:r>
                <m:t>c</m:t>
              </m:r>
            </m:sub>
          </m:sSub>
        </m:oMath>
      </m:oMathPara>
    </w:p>
    <w:p>
      <w:pPr>
        <w:pStyle w:val="FirstParagraph"/>
      </w:pPr>
      <m:oMathPara>
        <m:oMathParaPr>
          <m:jc m:val="center"/>
        </m:oMathParaPr>
        <m:oMath>
          <m:borderBox>
            <m:e>
              <m:sSubSup>
                <m:e>
                  <m:r>
                    <m:t>K</m:t>
                  </m:r>
                </m:e>
                <m:sub>
                  <m:r>
                    <m:t>e</m:t>
                  </m:r>
                  <m:r>
                    <m:t>q</m:t>
                  </m:r>
                </m:sub>
                <m:sup>
                  <m:r>
                    <m:t>a</m:t>
                  </m:r>
                  <m:r>
                    <m:t>s</m:t>
                  </m:r>
                  <m:r>
                    <m:t>m</m:t>
                  </m:r>
                </m:sup>
              </m:sSubSup>
              <m:r>
                <m:rPr>
                  <m:sty m:val="p"/>
                </m:rPr>
                <m:t>=</m:t>
              </m:r>
              <m:f>
                <m:fPr>
                  <m:type m:val="bar"/>
                </m:fPr>
                <m:num>
                  <m:sSub>
                    <m:e>
                      <m:r>
                        <m:t>L</m:t>
                      </m:r>
                    </m:e>
                    <m:sub>
                      <m:r>
                        <m:t>a</m:t>
                      </m:r>
                      <m:r>
                        <m:t>s</m:t>
                      </m:r>
                      <m:r>
                        <m:t>m</m:t>
                      </m:r>
                    </m:sub>
                  </m:sSub>
                </m:num>
                <m:den>
                  <m:sSubSup>
                    <m:e>
                      <m:r>
                        <m:t>R</m:t>
                      </m:r>
                    </m:e>
                    <m:sub>
                      <m:r>
                        <m:t>t</m:t>
                      </m:r>
                      <m:r>
                        <m:t>o</m:t>
                      </m:r>
                      <m:r>
                        <m:t>t</m:t>
                      </m:r>
                    </m:sub>
                    <m:sup>
                      <m:r>
                        <m:t>a</m:t>
                      </m:r>
                      <m:r>
                        <m:t>s</m:t>
                      </m:r>
                      <m:r>
                        <m:t>m</m:t>
                      </m:r>
                    </m:sup>
                  </m:sSubSup>
                </m:den>
              </m:f>
              <m:r>
                <m:rPr>
                  <m:sty m:val="p"/>
                </m:rPr>
                <m:t>=</m:t>
              </m:r>
              <m:f>
                <m:fPr>
                  <m:type m:val="bar"/>
                </m:fPr>
                <m:num>
                  <m:sSub>
                    <m:e>
                      <m:r>
                        <m:t>N</m:t>
                      </m:r>
                    </m:e>
                    <m:sub>
                      <m:r>
                        <m:t>r</m:t>
                      </m:r>
                      <m:r>
                        <m:t>e</m:t>
                      </m:r>
                      <m:r>
                        <m:t>p</m:t>
                      </m:r>
                    </m:sub>
                  </m:sSub>
                  <m:r>
                    <m:rPr>
                      <m:sty m:val="p"/>
                    </m:rPr>
                    <m:t>⋅</m:t>
                  </m:r>
                  <m:sSub>
                    <m:e>
                      <m:r>
                        <m:t>L</m:t>
                      </m:r>
                    </m:e>
                    <m:sub>
                      <m:r>
                        <m:t>c</m:t>
                      </m:r>
                      <m:r>
                        <m:t>e</m:t>
                      </m:r>
                      <m:r>
                        <m:t>l</m:t>
                      </m:r>
                      <m:r>
                        <m:t>l</m:t>
                      </m:r>
                    </m:sub>
                  </m:sSub>
                </m:num>
                <m:den>
                  <m:sSub>
                    <m:e>
                      <m:r>
                        <m:t>N</m:t>
                      </m:r>
                    </m:e>
                    <m:sub>
                      <m:r>
                        <m:t>r</m:t>
                      </m:r>
                      <m:r>
                        <m:t>e</m:t>
                      </m:r>
                      <m:r>
                        <m:t>p</m:t>
                      </m:r>
                    </m:sub>
                  </m:sSub>
                  <m:r>
                    <m:rPr>
                      <m:sty m:val="p"/>
                    </m:rPr>
                    <m:t>⋅</m:t>
                  </m:r>
                  <m:f>
                    <m:fPr>
                      <m:type m:val="bar"/>
                    </m:fPr>
                    <m:num>
                      <m:sSub>
                        <m:e>
                          <m:r>
                            <m:t>L</m:t>
                          </m:r>
                        </m:e>
                        <m:sub>
                          <m:r>
                            <m:t>c</m:t>
                          </m:r>
                          <m:r>
                            <m:t>e</m:t>
                          </m:r>
                          <m:r>
                            <m:t>l</m:t>
                          </m:r>
                          <m:r>
                            <m:t>l</m:t>
                          </m:r>
                        </m:sub>
                      </m:sSub>
                    </m:num>
                    <m:den>
                      <m:sSub>
                        <m:e>
                          <m:r>
                            <m:t>K</m:t>
                          </m:r>
                        </m:e>
                        <m:sub>
                          <m:r>
                            <m:t>e</m:t>
                          </m:r>
                          <m:r>
                            <m:t>q</m:t>
                          </m:r>
                        </m:sub>
                      </m:sSub>
                    </m:den>
                  </m:f>
                  <m:r>
                    <m:rPr>
                      <m:sty m:val="p"/>
                    </m:rPr>
                    <m:t>+</m:t>
                  </m:r>
                  <m:d>
                    <m:dPr>
                      <m:begChr m:val="("/>
                      <m:endChr m:val=")"/>
                      <m:sepChr m:val=""/>
                      <m:grow/>
                    </m:dPr>
                    <m:e>
                      <m:sSub>
                        <m:e>
                          <m:r>
                            <m:t>N</m:t>
                          </m:r>
                        </m:e>
                        <m:sub>
                          <m:r>
                            <m:t>r</m:t>
                          </m:r>
                          <m:r>
                            <m:t>e</m:t>
                          </m:r>
                          <m:r>
                            <m:t>p</m:t>
                          </m:r>
                        </m:sub>
                      </m:sSub>
                      <m:r>
                        <m:rPr>
                          <m:sty m:val="p"/>
                        </m:rPr>
                        <m:t>−</m:t>
                      </m:r>
                      <m:r>
                        <m:t>1</m:t>
                      </m:r>
                    </m:e>
                  </m:d>
                  <m:r>
                    <m:rPr>
                      <m:sty m:val="p"/>
                    </m:rPr>
                    <m:t>⋅</m:t>
                  </m:r>
                  <m:sSub>
                    <m:e>
                      <m:r>
                        <m:t>R</m:t>
                      </m:r>
                    </m:e>
                    <m:sub>
                      <m:r>
                        <m:t>c</m:t>
                      </m:r>
                    </m:sub>
                  </m:sSub>
                </m:den>
              </m:f>
            </m:e>
          </m:borderBox>
        </m:oMath>
      </m:oMathPara>
    </w:p>
    <w:p>
      <w:pPr>
        <w:pStyle w:val="FirstParagraph"/>
      </w:pPr>
      <w:r>
        <w:t xml:space="preserve">Ce milieu homogène équivalent corrigé permet de retrouver la température maximale globale</w:t>
      </w:r>
      <w:r>
        <w:t xml:space="preserve"> </w:t>
      </w:r>
      <w:r>
        <w:t xml:space="preserve">de l’assemblage sans avoir à résoudre explicitement les interfaces, au prix d’une perte</w:t>
      </w:r>
      <w:r>
        <w:t xml:space="preserve"> </w:t>
      </w:r>
      <w:r>
        <w:t xml:space="preserve">d’information sur les sauts locaux de température aux interfaces.</w:t>
      </w:r>
    </w:p>
    <w:p>
      <w:pPr>
        <w:pStyle w:val="BodyText"/>
      </w:pPr>
      <w:r>
        <w:rPr>
          <w:bCs/>
          <w:b/>
        </w:rPr>
        <w:t xml:space="preserve">Vérification des cas limites :</w:t>
      </w:r>
      <w:r>
        <w:t xml:space="preserve"> </w:t>
      </w:r>
      <w:r>
        <w:t xml:space="preserve">pour</w:t>
      </w:r>
      <w:r>
        <w:t xml:space="preserve"> </w:t>
      </w:r>
      <m:oMath>
        <m:sSub>
          <m:e>
            <m:r>
              <m:t>R</m:t>
            </m:r>
          </m:e>
          <m:sub>
            <m:r>
              <m:t>c</m:t>
            </m:r>
          </m:sub>
        </m:sSub>
        <m:r>
          <m:rPr>
            <m:sty m:val="p"/>
          </m:rPr>
          <m:t>→</m:t>
        </m:r>
        <m:r>
          <m:t>0</m:t>
        </m:r>
      </m:oMath>
      <w:r>
        <w:t xml:space="preserve">, on retrouve</w:t>
      </w:r>
      <w:r>
        <w:t xml:space="preserve"> </w:t>
      </w:r>
      <m:oMath>
        <m:sSubSup>
          <m:e>
            <m:r>
              <m:t>K</m:t>
            </m:r>
          </m:e>
          <m:sub>
            <m:r>
              <m:t>e</m:t>
            </m:r>
            <m:r>
              <m:t>q</m:t>
            </m:r>
          </m:sub>
          <m:sup>
            <m:r>
              <m:t>a</m:t>
            </m:r>
            <m:r>
              <m:t>s</m:t>
            </m:r>
            <m:r>
              <m:t>m</m:t>
            </m:r>
          </m:sup>
        </m:sSubSup>
        <m:r>
          <m:rPr>
            <m:sty m:val="p"/>
          </m:rPr>
          <m:t>→</m:t>
        </m:r>
        <m:sSub>
          <m:e>
            <m:r>
              <m:t>K</m:t>
            </m:r>
          </m:e>
          <m:sub>
            <m:r>
              <m:t>e</m:t>
            </m:r>
            <m:r>
              <m:t>q</m:t>
            </m:r>
          </m:sub>
        </m:sSub>
      </m:oMath>
      <w:r>
        <w:t xml:space="preserve">,</w:t>
      </w:r>
      <w:r>
        <w:t xml:space="preserve"> </w:t>
      </w:r>
      <w:r>
        <w:t xml:space="preserve">ce qui est cohérent avec l’absence d’interface. Pour</w:t>
      </w:r>
      <w:r>
        <w:t xml:space="preserve"> </w:t>
      </w:r>
      <m:oMath>
        <m:sSub>
          <m:e>
            <m:r>
              <m:t>R</m:t>
            </m:r>
          </m:e>
          <m:sub>
            <m:r>
              <m:t>c</m:t>
            </m:r>
          </m:sub>
        </m:sSub>
        <m:r>
          <m:rPr>
            <m:sty m:val="p"/>
          </m:rPr>
          <m:t>≫</m:t>
        </m:r>
        <m:sSub>
          <m:e>
            <m:r>
              <m:t>L</m:t>
            </m:r>
          </m:e>
          <m:sub>
            <m:r>
              <m:t>c</m:t>
            </m:r>
            <m:r>
              <m:t>e</m:t>
            </m:r>
            <m:r>
              <m:t>l</m:t>
            </m:r>
            <m:r>
              <m:t>l</m:t>
            </m:r>
          </m:sub>
        </m:sSub>
        <m:r>
          <m:rPr>
            <m:sty m:val="p"/>
          </m:rPr>
          <m:t>/</m:t>
        </m:r>
        <m:sSub>
          <m:e>
            <m:r>
              <m:t>K</m:t>
            </m:r>
          </m:e>
          <m:sub>
            <m:r>
              <m:t>e</m:t>
            </m:r>
            <m:r>
              <m:t>q</m:t>
            </m:r>
          </m:sub>
        </m:sSub>
      </m:oMath>
      <w:r>
        <w:t xml:space="preserve">, la</w:t>
      </w:r>
      <w:r>
        <w:t xml:space="preserve"> </w:t>
      </w:r>
      <w:r>
        <w:t xml:space="preserve">conductivité de l’assemblage est dominée par les résistances de contact, conformément</w:t>
      </w:r>
      <w:r>
        <w:t xml:space="preserve"> </w:t>
      </w:r>
      <w:r>
        <w:t xml:space="preserve">au comportement physique attendu.</w:t>
      </w:r>
    </w:p>
    <w:bookmarkEnd w:id="44"/>
    <w:bookmarkStart w:id="45" w:name="comparaison-des-températures-maximales"/>
    <w:p>
      <w:pPr>
        <w:pStyle w:val="Heading2"/>
      </w:pPr>
      <w:r>
        <w:rPr>
          <w:rStyle w:val="SectionNumber"/>
        </w:rPr>
        <w:t xml:space="preserve">7.5</w:t>
      </w:r>
      <w:r>
        <w:tab/>
      </w:r>
      <w:r>
        <w:t xml:space="preserve">Comparaison des températures maximales</w:t>
      </w:r>
    </w:p>
    <w:p>
      <w:pPr>
        <w:pStyle w:val="FirstParagraph"/>
      </w:pPr>
      <w:r>
        <w:t xml:space="preserve">La résistance de contact dégrade la conductivité thermique effective de l’assemblage et</w:t>
      </w:r>
      <w:r>
        <w:t xml:space="preserve"> </w:t>
      </w:r>
      <w:r>
        <w:t xml:space="preserve">élève la température maximale en cœur de batterie. Pour maintenir</w:t>
      </w:r>
      <w:r>
        <w:t xml:space="preserve"> </w:t>
      </w:r>
      <m:oMath>
        <m:sSub>
          <m:e>
            <m:r>
              <m:t>T</m:t>
            </m:r>
          </m:e>
          <m:sub>
            <m:r>
              <m:t>m</m:t>
            </m:r>
            <m:r>
              <m:t>a</m:t>
            </m:r>
            <m:r>
              <m:t>x</m:t>
            </m:r>
          </m:sub>
        </m:sSub>
        <m:r>
          <m:rPr>
            <m:sty m:val="p"/>
          </m:rPr>
          <m:t>≤</m:t>
        </m:r>
        <m:r>
          <m:t>45</m:t>
        </m:r>
      </m:oMath>
      <w:r>
        <w:t xml:space="preserve">°C</w:t>
      </w:r>
      <w:r>
        <w:t xml:space="preserve"> </w:t>
      </w:r>
      <w:r>
        <w:t xml:space="preserve">en charge rapide, le coefficient d’échange</w:t>
      </w:r>
      <w:r>
        <w:t xml:space="preserve"> </w:t>
      </w:r>
      <m:oMath>
        <m:r>
          <m:t>h</m:t>
        </m:r>
      </m:oMath>
      <w:r>
        <w:t xml:space="preserve"> </w:t>
      </w:r>
      <w:r>
        <w:t xml:space="preserve">minimal nécessaire est donc</w:t>
      </w:r>
      <w:r>
        <w:t xml:space="preserve"> </w:t>
      </w:r>
      <w:r>
        <w:rPr>
          <w:bCs/>
          <w:b/>
        </w:rPr>
        <w:t xml:space="preserve">plus élevé</w:t>
      </w:r>
      <w:r>
        <w:t xml:space="preserve"> </w:t>
      </w:r>
      <w:r>
        <w:t xml:space="preserve">qu’en l’absence de résistances de contact. Ce résultat souligne l’importance de minimiser</w:t>
      </w:r>
      <w:r>
        <w:t xml:space="preserve"> </w:t>
      </w:r>
      <m:oMath>
        <m:sSub>
          <m:e>
            <m:r>
              <m:t>R</m:t>
            </m:r>
          </m:e>
          <m:sub>
            <m:r>
              <m:t>c</m:t>
            </m:r>
          </m:sub>
        </m:sSub>
      </m:oMath>
      <w:r>
        <w:t xml:space="preserve"> </w:t>
      </w:r>
      <w:r>
        <w:t xml:space="preserve">en pratique, par exemple par l’utilisation de pâtes thermiques ou de plaquettes</w:t>
      </w:r>
      <w:r>
        <w:t xml:space="preserve"> </w:t>
      </w:r>
      <w:r>
        <w:t xml:space="preserve">conductrices aux interfaces entre cellules.</w:t>
      </w:r>
    </w:p>
    <w:bookmarkEnd w:id="45"/>
    <w:bookmarkEnd w:id="46"/>
    <w:bookmarkStart w:id="47" w:name="X09ff8166d1752a4751c17931141e3991a4a271b"/>
    <w:p>
      <w:pPr>
        <w:pStyle w:val="Heading1"/>
      </w:pPr>
      <w:r>
        <w:rPr>
          <w:rStyle w:val="SectionNumber"/>
        </w:rPr>
        <w:t xml:space="preserve">8</w:t>
      </w:r>
      <w:r>
        <w:tab/>
      </w:r>
      <w:r>
        <w:t xml:space="preserve">Simulation bonus — Batterie réaliste de 2,5 cm d’épaisseur (100 cellules) :</w:t>
      </w:r>
    </w:p>
    <w:p>
      <w:pPr>
        <w:pStyle w:val="FirstParagraph"/>
      </w:pPr>
      <w:r>
        <w:t xml:space="preserve">À titre de comparaison, une simulation a été réalisée sur un assemblage de 100 cellules (</w:t>
      </w:r>
      <m:oMath>
        <m:sSub>
          <m:e>
            <m:r>
              <m:t>L</m:t>
            </m:r>
          </m:e>
          <m:sub>
            <m:r>
              <m:t>a</m:t>
            </m:r>
            <m:r>
              <m:t>s</m:t>
            </m:r>
            <m:r>
              <m:t>m</m:t>
            </m:r>
          </m:sub>
        </m:sSub>
        <m:r>
          <m:rPr>
            <m:sty m:val="p"/>
          </m:rPr>
          <m:t>=</m:t>
        </m:r>
        <m:r>
          <m:t>2</m:t>
        </m:r>
        <m:r>
          <m:rPr>
            <m:sty m:val="p"/>
          </m:rPr>
          <m:t>,</m:t>
        </m:r>
        <m:r>
          <m:t>5</m:t>
        </m:r>
      </m:oMath>
      <w:r>
        <w:t xml:space="preserve"> </w:t>
      </w:r>
      <w:r>
        <w:t xml:space="preserve">cm) avec les cas extrêmes</w:t>
      </w:r>
      <w:r>
        <w:t xml:space="preserve"> </w:t>
      </w:r>
      <m:oMath>
        <m:r>
          <m:t>h</m:t>
        </m:r>
        <m:r>
          <m:rPr>
            <m:sty m:val="p"/>
          </m:rPr>
          <m:t>=</m:t>
        </m:r>
        <m:r>
          <m:t>5</m:t>
        </m:r>
        <m:r>
          <m:t> </m:t>
        </m:r>
        <m:r>
          <m:t>W</m:t>
        </m:r>
        <m:r>
          <m:rPr>
            <m:sty m:val="p"/>
          </m:rPr>
          <m:t>/</m:t>
        </m:r>
        <m:sSup>
          <m:e>
            <m:r>
              <m:t>m</m:t>
            </m:r>
          </m:e>
          <m:sup>
            <m:r>
              <m:t>2</m:t>
            </m:r>
          </m:sup>
        </m:sSup>
        <m:r>
          <m:t>K</m:t>
        </m:r>
      </m:oMath>
      <w:r>
        <w:t xml:space="preserve"> </w:t>
      </w:r>
      <w:r>
        <w:t xml:space="preserve">et</w:t>
      </w:r>
      <w:r>
        <w:t xml:space="preserve"> </w:t>
      </w:r>
      <m:oMath>
        <m:r>
          <m:t>h</m:t>
        </m:r>
        <m:r>
          <m:rPr>
            <m:sty m:val="p"/>
          </m:rPr>
          <m:t>=</m:t>
        </m:r>
        <m:r>
          <m:t>500</m:t>
        </m:r>
        <m:r>
          <m:t> </m:t>
        </m:r>
        <m:r>
          <m:t>W</m:t>
        </m:r>
        <m:r>
          <m:rPr>
            <m:sty m:val="p"/>
          </m:rPr>
          <m:t>/</m:t>
        </m:r>
        <m:sSup>
          <m:e>
            <m:r>
              <m:t>m</m:t>
            </m:r>
          </m:e>
          <m:sup>
            <m:r>
              <m:t>2</m:t>
            </m:r>
          </m:sup>
        </m:sSup>
        <m:r>
          <m:t>K</m:t>
        </m:r>
      </m:oMath>
      <w:r>
        <w:t xml:space="preserve"> </w:t>
      </w:r>
      <w:r>
        <w:t xml:space="preserve">en charge lente et rapide.</w:t>
      </w:r>
    </w:p>
    <w:p>
      <w:pPr>
        <w:pStyle w:val="BodyText"/>
      </w:pPr>
      <w:r>
        <w:t xml:space="preserve">Les résultats confirment les tendances observées : en charge rapide avec</w:t>
      </w:r>
      <w:r>
        <w:t xml:space="preserve"> </w:t>
      </w:r>
      <m:oMath>
        <m:r>
          <m:t>h</m:t>
        </m:r>
        <m:r>
          <m:rPr>
            <m:sty m:val="p"/>
          </m:rPr>
          <m:t>=</m:t>
        </m:r>
        <m:r>
          <m:t>5</m:t>
        </m:r>
        <m:r>
          <m:t> </m:t>
        </m:r>
        <m:r>
          <m:t>W</m:t>
        </m:r>
        <m:r>
          <m:rPr>
            <m:sty m:val="p"/>
          </m:rPr>
          <m:t>/</m:t>
        </m:r>
        <m:sSup>
          <m:e>
            <m:r>
              <m:t>m</m:t>
            </m:r>
          </m:e>
          <m:sup>
            <m:r>
              <m:t>2</m:t>
            </m:r>
          </m:sup>
        </m:sSup>
        <m:r>
          <m:t>K</m:t>
        </m:r>
      </m:oMath>
      <w:r>
        <w:t xml:space="preserve">,</w:t>
      </w:r>
      <w:r>
        <w:t xml:space="preserve"> </w:t>
      </w:r>
      <m:oMath>
        <m:sSub>
          <m:e>
            <m:r>
              <m:t>T</m:t>
            </m:r>
          </m:e>
          <m:sub>
            <m:r>
              <m:t>m</m:t>
            </m:r>
            <m:r>
              <m:t>a</m:t>
            </m:r>
            <m:r>
              <m:t>x</m:t>
            </m:r>
          </m:sub>
        </m:sSub>
      </m:oMath>
      <w:r>
        <w:t xml:space="preserve"> </w:t>
      </w:r>
      <w:r>
        <w:t xml:space="preserve">atteint</w:t>
      </w:r>
      <w:r>
        <w:t xml:space="preserve"> </w:t>
      </w:r>
      <w:r>
        <w:rPr>
          <w:bCs/>
          <w:b/>
        </w:rPr>
        <w:t xml:space="preserve">97,9°C</w:t>
      </w:r>
      <w:r>
        <w:t xml:space="preserve">, dépassant largement la limite absolue de 60°C et approchant le seuil de shutdown du séparateur (~120°C) — ce régime est donc incompatible avec la sécurité sans refroidissement forcé.</w:t>
      </w:r>
    </w:p>
    <w:p>
      <w:pPr>
        <w:pStyle w:val="BodyText"/>
      </w:pPr>
      <w:r>
        <w:t xml:space="preserve">Avec</w:t>
      </w:r>
      <w:r>
        <w:t xml:space="preserve"> </w:t>
      </w:r>
      <m:oMath>
        <m:r>
          <m:t>h</m:t>
        </m:r>
        <m:r>
          <m:rPr>
            <m:sty m:val="p"/>
          </m:rPr>
          <m:t>=</m:t>
        </m:r>
        <m:r>
          <m:t>500</m:t>
        </m:r>
        <m:r>
          <m:t> </m:t>
        </m:r>
        <m:r>
          <m:t>W</m:t>
        </m:r>
        <m:r>
          <m:rPr>
            <m:sty m:val="p"/>
          </m:rPr>
          <m:t>/</m:t>
        </m:r>
        <m:sSup>
          <m:e>
            <m:r>
              <m:t>m</m:t>
            </m:r>
          </m:e>
          <m:sup>
            <m:r>
              <m:t>2</m:t>
            </m:r>
          </m:sup>
        </m:sSup>
        <m:r>
          <m:t>K</m:t>
        </m:r>
      </m:oMath>
      <w:r>
        <w:t xml:space="preserve">,</w:t>
      </w:r>
      <w:r>
        <w:t xml:space="preserve"> </w:t>
      </w:r>
      <m:oMath>
        <m:sSub>
          <m:e>
            <m:r>
              <m:t>T</m:t>
            </m:r>
          </m:e>
          <m:sub>
            <m:r>
              <m:t>m</m:t>
            </m:r>
            <m:r>
              <m:t>a</m:t>
            </m:r>
            <m:r>
              <m:t>x</m:t>
            </m:r>
          </m:sub>
        </m:sSub>
      </m:oMath>
      <w:r>
        <w:t xml:space="preserve"> </w:t>
      </w:r>
      <w:r>
        <w:t xml:space="preserve">redescend à</w:t>
      </w:r>
      <w:r>
        <w:t xml:space="preserve"> </w:t>
      </w:r>
      <w:r>
        <w:rPr>
          <w:bCs/>
          <w:b/>
        </w:rPr>
        <w:t xml:space="preserve">41,6°C</w:t>
      </w:r>
      <w:r>
        <w:t xml:space="preserve"> </w:t>
      </w:r>
      <w:r>
        <w:t xml:space="preserve">en charge rapide et</w:t>
      </w:r>
      <w:r>
        <w:t xml:space="preserve"> </w:t>
      </w:r>
      <w:r>
        <w:rPr>
          <w:bCs/>
          <w:b/>
        </w:rPr>
        <w:t xml:space="preserve">40,17°C</w:t>
      </w:r>
      <w:r>
        <w:t xml:space="preserve"> </w:t>
      </w:r>
      <w:r>
        <w:t xml:space="preserve">en charge lente, confirmant qu’un refroidissement intensif permet de maîtriser thermiquement même un assemblage deux fois plus épais.</w:t>
      </w:r>
    </w:p>
    <w:bookmarkEnd w:id="47"/>
    <w:bookmarkStart w:id="50" w:name="conclusion"/>
    <w:p>
      <w:pPr>
        <w:pStyle w:val="Heading1"/>
      </w:pPr>
      <w:r>
        <w:rPr>
          <w:rStyle w:val="SectionNumber"/>
        </w:rPr>
        <w:t xml:space="preserve">9</w:t>
      </w:r>
      <w:r>
        <w:tab/>
      </w:r>
      <w:r>
        <w:t xml:space="preserve">Conclusion</w:t>
      </w:r>
    </w:p>
    <w:bookmarkStart w:id="48" w:name="synthèse-des-résultats"/>
    <w:p>
      <w:pPr>
        <w:pStyle w:val="Heading2"/>
      </w:pPr>
      <w:r>
        <w:rPr>
          <w:rStyle w:val="SectionNumber"/>
        </w:rPr>
        <w:t xml:space="preserve">9.1</w:t>
      </w:r>
      <w:r>
        <w:tab/>
      </w:r>
      <w:r>
        <w:t xml:space="preserve">Synthèse des résultats</w:t>
      </w:r>
    </w:p>
    <w:p>
      <w:pPr>
        <w:pStyle w:val="FirstParagraph"/>
      </w:pPr>
      <w:r>
        <w:t xml:space="preserve">Cette étude a permis de simuler avec succès le comportement thermique d’une cellule de batterie lithium-ion par volumes finis 1D. Les résultats principaux sont :</w:t>
      </w:r>
    </w:p>
    <w:bookmarkEnd w:id="48"/>
    <w:bookmarkStart w:id="49" w:name="X89e60f98999e7eae06a6d2fd5202b61935f61c5"/>
    <w:p>
      <w:pPr>
        <w:pStyle w:val="Heading2"/>
      </w:pPr>
      <w:r>
        <w:rPr>
          <w:rStyle w:val="SectionNumber"/>
        </w:rPr>
        <w:t xml:space="preserve">9.2</w:t>
      </w:r>
      <w:r>
        <w:tab/>
      </w:r>
      <w:r>
        <w:t xml:space="preserve">Limites du modèle et pistes d’amélioration</w:t>
      </w:r>
    </w:p>
    <w:p>
      <w:pPr>
        <w:pStyle w:val="FirstParagraph"/>
      </w:pPr>
      <w:r>
        <w:t xml:space="preserve">Plusieurs limitations importantes doivent être soulignées :</w:t>
      </w:r>
    </w:p>
    <w:p>
      <w:pPr>
        <w:numPr>
          <w:ilvl w:val="0"/>
          <w:numId w:val="1005"/>
        </w:numPr>
        <w:pStyle w:val="Compact"/>
      </w:pPr>
      <w:r>
        <w:t xml:space="preserve">Le modèle est strictement stationnaire : les phases de charge transitoires (démarrage, fin de charge) ne sont pas capturées. Une extension en régime transitoire serait nécessaire pour évaluer les chocs thermiques.</w:t>
      </w:r>
    </w:p>
    <w:p>
      <w:pPr>
        <w:numPr>
          <w:ilvl w:val="0"/>
          <w:numId w:val="1005"/>
        </w:numPr>
        <w:pStyle w:val="Compact"/>
      </w:pPr>
      <w:r>
        <w:t xml:space="preserve">L’homogénéisation du milieu équivalent efface les détails intra-cellulaires. Pour des analyses de sécurité fine (surchauffe du séparateur), le modèle multicouche est indispensable.</w:t>
      </w:r>
    </w:p>
    <w:p>
      <w:pPr>
        <w:numPr>
          <w:ilvl w:val="0"/>
          <w:numId w:val="1005"/>
        </w:numPr>
        <w:pStyle w:val="Compact"/>
      </w:pPr>
      <w:r>
        <w:t xml:space="preserve">Les incertitudes sur les conductivités des électrodes actives (±30–40 %) se répercutent directement sur le</w:t>
      </w:r>
      <w:r>
        <w:t xml:space="preserve"> </w:t>
      </w:r>
      <m:oMath>
        <m:r>
          <m:t>Δ</m:t>
        </m:r>
        <m:r>
          <m:t>T</m:t>
        </m:r>
      </m:oMath>
      <w:r>
        <w:t xml:space="preserve"> </w:t>
      </w:r>
      <w:r>
        <w:t xml:space="preserve">interne à la cellule. Une étude de sensibilité paramétrique serait pertinente.</w:t>
      </w:r>
    </w:p>
    <w:p>
      <w:pPr>
        <w:numPr>
          <w:ilvl w:val="0"/>
          <w:numId w:val="1005"/>
        </w:numPr>
        <w:pStyle w:val="Compact"/>
      </w:pPr>
      <w:r>
        <w:t xml:space="preserve">La modélisation 1D ignore les effets de bord et les hétérogénéités latérales (inhomogénéités de courant), potentiellement importants pour les grandes cellules.</w:t>
      </w:r>
    </w:p>
    <w:p>
      <w:pPr>
        <w:numPr>
          <w:ilvl w:val="0"/>
          <w:numId w:val="1005"/>
        </w:numPr>
        <w:pStyle w:val="Compact"/>
      </w:pPr>
      <w:r>
        <w:t xml:space="preserve">La chaleur de polarisation (pertes électrochimiques) et la chaleur entropique ont été négligées. Leur inclusion pourrait modifier les résultats de 5–15 % selon le taux de charge.</w:t>
      </w:r>
    </w:p>
    <w:p>
      <w:pPr>
        <w:pStyle w:val="FirstParagraph"/>
      </w:pPr>
      <w:r>
        <w:rPr>
          <w:bCs/>
          <w:b/>
        </w:rPr>
        <w:t xml:space="preserve">Conclusion générale :</w:t>
      </w:r>
      <w:r>
        <w:t xml:space="preserve"> </w:t>
      </w:r>
      <w:r>
        <w:t xml:space="preserve">Le modèle développé est suffisamment robuste pour dimensionner le système de refroidissement d’un assemblage de batteries en première approximation. La principale conclusion opérationnelle est que la charge rapide nécessite impérativement une convection forcée avec</w:t>
      </w:r>
      <w:r>
        <w:t xml:space="preserve"> </w:t>
      </w:r>
      <m:oMath>
        <m:r>
          <m:t>h</m:t>
        </m:r>
        <m:r>
          <m:rPr>
            <m:sty m:val="p"/>
          </m:rPr>
          <m:t>≥</m:t>
        </m:r>
        <m:r>
          <m:t>50</m:t>
        </m:r>
        <m:r>
          <m:t>W</m:t>
        </m:r>
        <m:r>
          <m:rPr>
            <m:sty m:val="p"/>
          </m:rPr>
          <m:t>/</m:t>
        </m:r>
        <m:sSup>
          <m:e>
            <m:r>
              <m:t>m</m:t>
            </m:r>
          </m:e>
          <m:sup>
            <m:r>
              <m:t>2</m:t>
            </m:r>
          </m:sup>
        </m:sSup>
        <m:r>
          <m:t>K</m:t>
        </m:r>
      </m:oMath>
      <w:r>
        <w:t xml:space="preserve"> </w:t>
      </w:r>
      <w:r>
        <w:t xml:space="preserve">pour maintenir l’assemblage sous 45°C, tandis que la charge lente peut être gérée avec une convection naturelle ou forcée légère.</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2026-03-29T14:57:44Z</dcterms:created>
  <dcterms:modified xsi:type="dcterms:W3CDTF">2026-03-29T14:57:44Z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15pt</vt:lpwstr>
  </property>
  <property fmtid="{D5CDD505-2E9C-101B-9397-08002B2CF9AE}" pid="3" name="geometry">
    <vt:lpwstr>margin=1.3cm</vt:lpwstr>
  </property>
  <property fmtid="{D5CDD505-2E9C-101B-9397-08002B2CF9AE}" pid="4" name="header-includes">
    <vt:lpwstr/>
  </property>
  <property fmtid="{D5CDD505-2E9C-101B-9397-08002B2CF9AE}" pid="5" name="papersize">
    <vt:lpwstr>a4</vt:lpwstr>
  </property>
</Properties>
</file>