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Compte</w:t>
      </w:r>
      <w:r>
        <w:t xml:space="preserve"> </w:t>
      </w:r>
      <w:r>
        <w:t xml:space="preserve">rendu</w:t>
      </w:r>
      <w:r>
        <w:t xml:space="preserve"> </w:t>
      </w:r>
      <w:r>
        <w:t xml:space="preserve">TP</w:t>
      </w:r>
      <w:r>
        <w:t xml:space="preserve"> </w:t>
      </w:r>
      <w:r>
        <w:t xml:space="preserve">Mécanique</w:t>
      </w:r>
      <w:r>
        <w:t xml:space="preserve"> </w:t>
      </w:r>
      <w:r>
        <w:t xml:space="preserve">Energétique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nom-du-tp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NOM DU TP</w:t>
      </w:r>
    </w:p>
    <w:p>
      <w:pPr>
        <w:pStyle w:val="FirstParagraph"/>
      </w:pPr>
      <w:r>
        <w:t xml:space="preserve">Introduction</w:t>
      </w:r>
    </w:p>
    <w:bookmarkEnd w:id="20"/>
    <w:bookmarkStart w:id="28" w:name="première-parti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Première partie</w:t>
      </w:r>
    </w:p>
    <w:bookmarkStart w:id="26" w:name="sous-partie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Sous partie 1</w:t>
      </w:r>
    </w:p>
    <w:p>
      <w:pPr>
        <w:pStyle w:val="FirstParagraph"/>
      </w:pPr>
      <w:r>
        <w:t xml:space="preserve">Blabla des formules :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d</m:t>
            </m:r>
            <m:r>
              <m:t>t</m:t>
            </m:r>
          </m:sub>
        </m:sSub>
      </m:oMath>
      <w:r>
        <w:t xml:space="preserve">=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m:oMath>
        <m:sSup>
          <m:e>
            <m:r>
              <m:t>e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t>x</m:t>
                </m:r>
              </m:e>
            </m:d>
          </m:sup>
        </m:sSup>
      </m:oMath>
    </w:p>
    <w:p>
      <w:pPr>
        <w:pStyle w:val="BodyText"/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N</m:t>
                    </m:r>
                  </m:e>
                  <m:sub>
                    <m:r>
                      <m:t>d</m:t>
                    </m:r>
                    <m:r>
                      <m:t>t</m:t>
                    </m:r>
                  </m:sub>
                </m:sSub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0</m:t>
                    </m:r>
                  </m:sub>
                </m:sSub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μ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  <m:r>
          <m:t>x</m:t>
        </m:r>
      </m:oMath>
    </w:p>
    <w:p>
      <w:pPr>
        <w:pStyle w:val="BodyText"/>
      </w:pPr>
      <m:oMath>
        <m:r>
          <m:t>μ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l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d</m:t>
                        </m:r>
                        <m:r>
                          <m:t>t</m:t>
                        </m:r>
                      </m:sub>
                    </m:sSub>
                  </m:den>
                </m:f>
              </m:e>
            </m:d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Du texte :</w:t>
      </w:r>
    </w:p>
    <w:p>
      <w:pPr>
        <w:pStyle w:val="BodyText"/>
      </w:pPr>
      <w:r>
        <w:t xml:space="preserve">Où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est le nombre de photons incident sur l’objet d’épaisseur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µ</w:t>
      </w:r>
      <w:r>
        <w:t xml:space="preserve"> </w:t>
      </w:r>
      <w:r>
        <w:t xml:space="preserve">le coefficient d’atténuation linéique à l’énergie E.</w:t>
      </w:r>
    </w:p>
    <w:p>
      <w:pPr>
        <w:pStyle w:val="BodyText"/>
      </w:pPr>
      <w:r>
        <w:t xml:space="preserve">Nous cherchons le nombre de photons incidents nécessaires pour obtenir une précision 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afin d’avoir les coefficients d’atténuations avec cette même précision.</w:t>
      </w:r>
    </w:p>
    <w:p>
      <w:pPr>
        <w:pStyle w:val="BodyText"/>
      </w:pPr>
      <w:r>
        <w:t xml:space="preserve">La précision tout comme l’incertitude relative s’exprime sans unité, nous pouvons donc traduire l’énoncé par l’équation suivante :</w:t>
      </w:r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σ</m:t>
                </m:r>
              </m:e>
              <m:sub>
                <m:r>
                  <m:t>μ</m:t>
                </m:r>
              </m:sub>
            </m:sSub>
          </m:num>
          <m:den>
            <m:r>
              <m:t>μ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Sachant que la formule de la variance est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V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∂</m:t>
                          </m:r>
                          <m:r>
                            <m:t>y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m:t>∂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V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Avec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μ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l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d</m:t>
                        </m:r>
                        <m:r>
                          <m:t>t</m:t>
                        </m:r>
                      </m:sub>
                    </m:sSub>
                  </m:den>
                </m:f>
              </m:e>
            </m:d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Comme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sont des valeurs dont nous connaissons la certitude, µ ne varie que selon</w:t>
      </w:r>
      <w:r>
        <w:t xml:space="preserve"> </w:t>
      </w:r>
      <m:oMath>
        <m:sSub>
          <m:e>
            <m:r>
              <m:t>N</m:t>
            </m:r>
          </m:e>
          <m:sub>
            <m:r>
              <m:t>d</m:t>
            </m:r>
            <m:r>
              <m:t>t</m:t>
            </m:r>
          </m:sub>
        </m:sSub>
      </m:oMath>
      <w:r>
        <w:t xml:space="preserve"> </w:t>
      </w:r>
      <w:r>
        <w:t xml:space="preserve">donc on en déduit que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N</m:t>
            </m:r>
          </m:e>
          <m:sub>
            <m:r>
              <m:t>d</m:t>
            </m:r>
            <m:r>
              <m:t>t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V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μ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</m:num>
                    <m:den>
                      <m:r>
                        <m:t>d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d</m:t>
                          </m:r>
                          <m:r>
                            <m:t>t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d</m:t>
                              </m:r>
                              <m: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Le nombre de photons transmits suit une loi de Poisson, on a donc Var[</w:t>
      </w:r>
      <m:oMath>
        <m:sSub>
          <m:e>
            <m:r>
              <m:t>N</m:t>
            </m:r>
          </m:e>
          <m:sub>
            <m:r>
              <m:t>d</m:t>
            </m:r>
            <m:r>
              <m:t>t</m:t>
            </m:r>
          </m:sub>
        </m:sSub>
      </m:oMath>
      <w:r>
        <w:t xml:space="preserve">] =</w:t>
      </w:r>
      <w:r>
        <w:t xml:space="preserve"> </w:t>
      </w:r>
      <m:oMath>
        <m:sSub>
          <m:e>
            <m:r>
              <m:t>N</m:t>
            </m:r>
          </m:e>
          <m:sub>
            <m:r>
              <m:t>d</m:t>
            </m:r>
            <m:r>
              <m:t>t</m:t>
            </m:r>
          </m:sub>
        </m:sSub>
      </m:oMath>
    </w:p>
    <w:p>
      <w:pPr>
        <w:pStyle w:val="BodyText"/>
      </w:pPr>
      <w:r>
        <w:t xml:space="preserve">On a donc, en remplacant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V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d</m:t>
                  </m:r>
                  <m:r>
                    <m:t>t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D’après la loi de Beer-Lambert,</w:t>
      </w:r>
      <w:r>
        <w:t xml:space="preserve"> </w:t>
      </w:r>
      <m:oMath>
        <m:sSub>
          <m:e>
            <m:r>
              <m:t>N</m:t>
            </m:r>
          </m:e>
          <m:sub>
            <m:r>
              <m:t>d</m:t>
            </m:r>
            <m:r>
              <m:t>t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m:oMath>
        <m:sSup>
          <m:e>
            <m:r>
              <m:t>e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x</m:t>
                </m:r>
              </m:e>
            </m:d>
          </m:sup>
        </m:sSup>
      </m:oMath>
    </w:p>
    <w:p>
      <w:pPr>
        <w:pStyle w:val="BodyText"/>
      </w:pPr>
      <w:r>
        <w:t xml:space="preserve">En remplacant dans la formule de la variance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V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μ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0</m:t>
                  </m:r>
                </m:sub>
              </m:sSub>
              <m:sSup>
                <m:e>
                  <m:r>
                    <m:t>e</m:t>
                  </m:r>
                </m:e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  <m:r>
                        <m:t>x</m:t>
                      </m:r>
                    </m:e>
                  </m:d>
                </m:sup>
              </m:sSup>
            </m:den>
          </m:f>
        </m:oMath>
      </m:oMathPara>
    </w:p>
    <w:p>
      <w:pPr>
        <w:pStyle w:val="FirstParagraph"/>
      </w:pPr>
      <w:r>
        <w:t xml:space="preserve">On obtient finalement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t>x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x</m:t>
                    </m:r>
                  </m:e>
                </m:d>
              </m:sup>
            </m:sSup>
          </m:den>
        </m:f>
      </m:oMath>
    </w:p>
    <w:bookmarkStart w:id="24" w:name="sous-sous-parti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Sous-sous partie</w:t>
      </w:r>
    </w:p>
    <w:p>
      <w:pPr>
        <w:pStyle w:val="FirstParagraph"/>
      </w:pPr>
      <w:r>
        <w:t xml:space="preserve">avec image :</w:t>
      </w:r>
    </w:p>
    <w:p>
      <w:pPr>
        <w:pStyle w:val="BodyText"/>
      </w:pPr>
      <w:r>
        <w:drawing>
          <wp:inline>
            <wp:extent cx="5334000" cy="38511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note ici que pour 1000 photons émis, nous avons 540 photons transmis pour une épaisseur de 3,9 cm de H2C.</w:t>
      </w:r>
    </w:p>
    <w:p>
      <w:pPr>
        <w:pStyle w:val="BodyText"/>
      </w:pPr>
      <w:r>
        <w:t xml:space="preserve">Donc on écrit et résout l’équation :</w:t>
      </w:r>
    </w:p>
    <w:p>
      <w:pPr>
        <w:pStyle w:val="BodyText"/>
      </w:pPr>
      <m:oMath>
        <m:r>
          <m:t>540</m:t>
        </m:r>
        <m:r>
          <m:rPr>
            <m:sty m:val="p"/>
          </m:rPr>
          <m:t>=</m:t>
        </m:r>
        <m:r>
          <m:t>1000</m:t>
        </m:r>
        <m:sSup>
          <m:e>
            <m:r>
              <m:t>e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,</m:t>
                </m:r>
                <m:r>
                  <m:t>9</m:t>
                </m:r>
                <m:r>
                  <m:t>μ</m:t>
                </m:r>
              </m:e>
            </m:d>
          </m:sup>
        </m:sSup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t>μ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161</m:t>
          </m:r>
          <m:sSup>
            <m:e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m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Le coefficient d’atténuation théorique, obtenu grâce au graphique ci-dessous (cercle jaune):</w:t>
      </w:r>
    </w:p>
    <w:p>
      <w:pPr>
        <w:pStyle w:val="BodyText"/>
      </w:pPr>
      <w:r>
        <w:t xml:space="preserve">On trouve donc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≈</m:t>
          </m:r>
          <m:r>
            <m:t>0</m:t>
          </m:r>
          <m:r>
            <m:rPr>
              <m:sty m:val="p"/>
            </m:rPr>
            <m:t>,</m:t>
          </m:r>
          <m:r>
            <m:t>16</m:t>
          </m:r>
          <m:sSup>
            <m:e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m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Ce résultat est très proche de notre résultat obtenu.</w:t>
      </w:r>
    </w:p>
    <w:p>
      <w:pPr>
        <w:pStyle w:val="BodyText"/>
      </w:pPr>
      <w:r>
        <w:t xml:space="preserve">Donc pour respecter notre condition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≥</m:t>
          </m:r>
          <m:f>
            <m:fPr>
              <m:type m:val="bar"/>
            </m:fPr>
            <m:num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sSup>
            <m:e>
              <m:r>
                <m:t>e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On trouve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4 752 395</w:t>
      </w:r>
    </w:p>
    <w:bookmarkEnd w:id="24"/>
    <w:bookmarkStart w:id="25" w:name="sous-sous-partie-2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Sous sous partie 2</w:t>
      </w:r>
    </w:p>
    <w:p>
      <w:pPr>
        <w:pStyle w:val="FirstParagraph"/>
      </w:pPr>
      <w:r>
        <w:t xml:space="preserve">Calculons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pour le plomb avec la même simulation :</w:t>
      </w:r>
    </w:p>
    <w:p>
      <w:pPr>
        <w:pStyle w:val="BodyText"/>
      </w:pPr>
      <w:r>
        <w:t xml:space="preserve">Donc on résout l’équation :</w:t>
      </w:r>
    </w:p>
    <w:p>
      <w:pPr>
        <w:pStyle w:val="BodyText"/>
      </w:pPr>
      <m:oMathPara>
        <m:oMathParaPr>
          <m:jc m:val="center"/>
        </m:oMathParaPr>
        <m:oMath>
          <m:r>
            <m:t>547</m:t>
          </m:r>
          <m:r>
            <m:rPr>
              <m:sty m:val="p"/>
            </m:rPr>
            <m:t>=</m:t>
          </m:r>
          <m:r>
            <m:t>1000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01</m:t>
              </m:r>
              <m:r>
                <m:t>μ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t>μ</m:t>
          </m:r>
          <m:r>
            <m:rPr>
              <m:sty m:val="p"/>
            </m:rPr>
            <m:t>=</m:t>
          </m:r>
          <m:r>
            <m:t>62</m:t>
          </m:r>
          <m:r>
            <m:rPr>
              <m:sty m:val="p"/>
            </m:rPr>
            <m:t>,</m:t>
          </m:r>
          <m:r>
            <m:t>33</m:t>
          </m:r>
          <m:sSup>
            <m:e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m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Le coefficient d’atténuation théorique, obtenu grâce au graphique ci-dessous :</w:t>
      </w:r>
    </w:p>
    <w:p>
      <w:pPr>
        <w:pStyle w:val="BodyText"/>
      </w:pPr>
      <w:r>
        <w:t xml:space="preserve">On trouve donc 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≈</m:t>
          </m:r>
          <m:r>
            <m:t>61</m:t>
          </m:r>
          <m:sSup>
            <m:e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m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bookmarkEnd w:id="25"/>
    <w:bookmarkEnd w:id="26"/>
    <w:bookmarkStart w:id="27" w:name="sous-partie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Sous partie 2</w:t>
      </w:r>
    </w:p>
    <w:p>
      <w:pPr>
        <w:pStyle w:val="FirstParagraph"/>
      </w:pPr>
      <w:r>
        <w:t xml:space="preserve">blablabla</w:t>
      </w:r>
    </w:p>
    <w:bookmarkEnd w:id="27"/>
    <w:bookmarkEnd w:id="28"/>
    <w:bookmarkStart w:id="32" w:name="deuxième-parti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Deuxième partie</w:t>
      </w:r>
    </w:p>
    <w:bookmarkStart w:id="29" w:name="sous-parti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Sous partie</w:t>
      </w:r>
    </w:p>
    <w:p>
      <w:pPr>
        <w:pStyle w:val="FirstParagraph"/>
      </w:pPr>
      <w:r>
        <w:t xml:space="preserve">Un tableau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Matériau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Energie moyenne (keV)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µ(E)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Plomb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85,86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Cuivre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92,34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29"/>
    <w:bookmarkStart w:id="31" w:name="plus-gros-tableau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Plus gros tableau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Epaisseur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HVL (mm 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Quelques formules</w:t>
      </w:r>
    </w:p>
    <w:p>
      <w:pPr>
        <w:pStyle w:val="BodyText"/>
      </w:pPr>
      <w:r>
        <w:t xml:space="preserve">$ 1000 px : 3.83 cm $</w:t>
      </w:r>
      <w:r>
        <w:t xml:space="preserve"> </w:t>
      </w:r>
      <w:r>
        <w:t xml:space="preserve">$ h_1 px : 1.99 cm $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1.99</m:t>
              </m:r>
            </m:num>
            <m:den>
              <m:r>
                <m:t>3.83</m:t>
              </m:r>
            </m:den>
          </m:f>
          <m:r>
            <m:rPr>
              <m:sty m:val="p"/>
            </m:rPr>
            <m:t>×</m:t>
          </m:r>
          <m:r>
            <m:t>1000</m:t>
          </m:r>
          <m:r>
            <m:rPr>
              <m:sty m:val="p"/>
            </m:rPr>
            <m:t>=</m:t>
          </m:r>
          <m:r>
            <m:t>518.23</m:t>
          </m:r>
          <m:r>
            <m:t>p</m:t>
          </m:r>
          <m:r>
            <m:t>x</m:t>
          </m:r>
        </m:oMath>
      </m:oMathPara>
    </w:p>
    <w:p>
      <w:pPr>
        <w:pStyle w:val="FirstParagraph"/>
      </w:pPr>
      <m:oMath>
        <m:r>
          <m:t>1000</m:t>
        </m:r>
        <m:r>
          <m:t>p</m:t>
        </m:r>
        <m:r>
          <m:t>x</m:t>
        </m:r>
        <m:r>
          <m:rPr>
            <m:sty m:val="p"/>
          </m:rPr>
          <m:t>:</m:t>
        </m:r>
        <m:r>
          <m:t>4.04</m:t>
        </m:r>
        <m:r>
          <m:t>c</m:t>
        </m:r>
        <m:r>
          <m:t>m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  <m:r>
          <m:t>p</m:t>
        </m:r>
        <m:r>
          <m:t>x</m:t>
        </m:r>
        <m:r>
          <m:rPr>
            <m:sty m:val="p"/>
          </m:rPr>
          <m:t>:</m:t>
        </m:r>
        <m:r>
          <m:t>3.38</m:t>
        </m:r>
        <m:r>
          <m:t>c</m:t>
        </m:r>
        <m:r>
          <m:t>m</m:t>
        </m:r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3.38</m:t>
              </m:r>
            </m:num>
            <m:den>
              <m:r>
                <m:t>4.04</m:t>
              </m:r>
            </m:den>
          </m:f>
          <m:r>
            <m:rPr>
              <m:sty m:val="p"/>
            </m:rPr>
            <m:t>×</m:t>
          </m:r>
          <m:r>
            <m:t>1000</m:t>
          </m:r>
          <m:r>
            <m:rPr>
              <m:sty m:val="p"/>
            </m:rPr>
            <m:t>=</m:t>
          </m:r>
          <m:r>
            <m:t>836.63</m:t>
          </m:r>
          <m:r>
            <m:t>p</m:t>
          </m:r>
          <m:r>
            <m:t>x</m:t>
          </m:r>
        </m:oMath>
      </m:oMathPara>
    </w:p>
    <w:p>
      <w:pPr>
        <w:pStyle w:val="FirstParagraph"/>
      </w:pPr>
      <w:r>
        <w:t xml:space="preserve">On applique ensuite le théorème de Thalès pour déterminer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Théorème de Thalès 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518.23</m:t>
              </m:r>
            </m:num>
            <m:den>
              <m:r>
                <m:t>836.63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rPr>
                  <m:sty m:val="p"/>
                </m:rPr>
                <m:t>−</m:t>
              </m:r>
              <m:r>
                <m:t>75</m:t>
              </m:r>
            </m:num>
            <m:den>
              <m:r>
                <m:t>d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75</m:t>
              </m:r>
              <m:r>
                <m:rPr>
                  <m:sty m:val="p"/>
                </m:rPr>
                <m:t>×</m:t>
              </m:r>
              <m:r>
                <m:t>836.63</m:t>
              </m:r>
            </m:num>
            <m:den>
              <m:r>
                <m:t>836.63</m:t>
              </m:r>
              <m:r>
                <m:rPr>
                  <m:sty m:val="p"/>
                </m:rPr>
                <m:t>−</m:t>
              </m:r>
              <m:r>
                <m:t>518.23</m:t>
              </m:r>
            </m:den>
          </m:f>
          <m:r>
            <m:rPr>
              <m:sty m:val="p"/>
            </m:rPr>
            <m:t>=</m:t>
          </m:r>
          <m:r>
            <m:t>197.07</m:t>
          </m:r>
          <m:r>
            <m:t>c</m:t>
          </m:r>
          <m:r>
            <m:t>m</m:t>
          </m:r>
          <m:r>
            <m:rPr>
              <m:sty m:val="p"/>
            </m:rPr>
            <m:t>≈</m:t>
          </m:r>
          <m:r>
            <m:t>2</m:t>
          </m:r>
          <m:r>
            <m:t>m</m:t>
          </m:r>
        </m:oMath>
      </m:oMathPara>
    </w:p>
    <w:p>
      <w:pPr>
        <w:pStyle w:val="FirstParagraph"/>
      </w:pPr>
      <w:r>
        <w:t xml:space="preserve">Nous pouvons donc conclure que le détecteur et la source sont séparés de 2m environ.</w:t>
      </w:r>
    </w:p>
    <w:p>
      <w:pPr>
        <w:pStyle w:val="BodyText"/>
      </w:pPr>
      <w:r>
        <w:t xml:space="preserve">On peut écrire 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t>o</m:t>
              </m:r>
              <m:r>
                <m:t>n</m:t>
              </m:r>
              <m:r>
                <m:t>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l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u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z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n</m:t>
                      </m:r>
                      <m:r>
                        <m:rPr>
                          <m:sty m:val="p"/>
                        </m:rPr>
                        <m:t>e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rPr>
                          <m:sty m:val="p"/>
                        </m:rPr>
                        <m:t>0</m:t>
                      </m:r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m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l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z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75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m</m:t>
                  </m:r>
                </m:e>
              </m:d>
            </m:num>
            <m:den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l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z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75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m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Nous allons utiliser les spectres pour les deux cas de notre expérience :</w:t>
      </w:r>
    </w:p>
    <w:p>
      <w:pPr>
        <w:pStyle w:val="BodyText"/>
      </w:pPr>
      <w:r>
        <w:t xml:space="preserve">En italique :</w:t>
      </w:r>
      <w:r>
        <w:t xml:space="preserve"> </w:t>
      </w:r>
      <w:r>
        <w:rPr>
          <w:iCs/>
          <w:i/>
        </w:rPr>
        <w:t xml:space="preserve">contre le detecteur</w:t>
      </w:r>
    </w:p>
    <w:bookmarkStart w:id="30" w:name="conclusion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Conclusion</w:t>
      </w:r>
    </w:p>
    <w:p>
      <w:pPr>
        <w:pStyle w:val="FirstParagraph"/>
      </w:pPr>
      <w:r>
        <w:t xml:space="preserve">En conclusion, il est observé que le rayonnement diffusé prédomine en direction du détecteur. La proximité d’un objet par rapport à la source accroît sa probabilité de détection. De plus, l’augmentation de l’épaisseur traversée induit une hausse du rayonnement diffusé, comme le confirme l’augmentation du SPR.</w:t>
      </w:r>
    </w:p>
    <w:p>
      <w:pPr>
        <w:pStyle w:val="BodyText"/>
      </w:pPr>
      <w:r>
        <w:t xml:space="preserve">Par conséquent, pour obtenir une image radiologique de qualité sans amplification excessive d’un élément, il est essentiel de le positionner le plus près possible du détecteur.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 Mécanique Energétique</dc:title>
  <dc:creator/>
  <cp:keywords/>
  <dcterms:created xsi:type="dcterms:W3CDTF">2025-01-20T08:48:00Z</dcterms:created>
  <dcterms:modified xsi:type="dcterms:W3CDTF">2025-01-20T08:48:00Z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