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385106EA" w14:textId="56492BCA" w:rsidR="00E76E28" w:rsidRPr="00F4627E" w:rsidRDefault="00056304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PENSAMIENTO SISTEMATICO</w:t>
      </w:r>
      <w:r w:rsidR="00E76E28" w:rsidRPr="00F4627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4627E">
        <w:rPr>
          <w:rFonts w:ascii="Times New Roman" w:hAnsi="Times New Roman" w:cs="Times New Roman"/>
          <w:b/>
          <w:bCs/>
          <w:sz w:val="24"/>
          <w:szCs w:val="24"/>
        </w:rPr>
        <w:t>PENSAMIENTO EN CIRCULOS</w:t>
      </w:r>
    </w:p>
    <w:p w14:paraId="17832331" w14:textId="24AF4ED4" w:rsidR="00E76E28" w:rsidRPr="00F4627E" w:rsidRDefault="00260F21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E76E28" w:rsidRPr="00F4627E">
        <w:rPr>
          <w:rFonts w:ascii="Times New Roman" w:hAnsi="Times New Roman" w:cs="Times New Roman"/>
          <w:b/>
          <w:bCs/>
          <w:sz w:val="24"/>
          <w:szCs w:val="24"/>
        </w:rPr>
        <w:t>NTEGRANTE</w:t>
      </w:r>
      <w:r w:rsidRPr="00F4627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76E28" w:rsidRPr="00F4627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E9BCA9" w14:textId="48DD4B4E" w:rsidR="00E76E28" w:rsidRPr="00F4627E" w:rsidRDefault="00E76E28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LEANDRO RIVERA</w:t>
      </w:r>
    </w:p>
    <w:p w14:paraId="3378A87F" w14:textId="3E574CF7" w:rsidR="003E6203" w:rsidRPr="00F4627E" w:rsidRDefault="00E76E28" w:rsidP="00A45DD3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BALMER VALENCIA</w:t>
      </w:r>
    </w:p>
    <w:p w14:paraId="044A8C04" w14:textId="3AEA35F8" w:rsidR="003E6203" w:rsidRPr="00F4627E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52DA1" w14:textId="1B545EB8" w:rsidR="003E6203" w:rsidRPr="00F4627E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27B89" w14:textId="5609DD35" w:rsidR="003E6203" w:rsidRPr="00F4627E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81B0F" w14:textId="77777777" w:rsidR="003E6203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5EF65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9768C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0F9B0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7EFDC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3A1D2" w14:textId="77777777" w:rsidR="00A45DD3" w:rsidRPr="00F4627E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47BD2" w14:textId="77777777" w:rsidR="00E76E28" w:rsidRPr="00F4627E" w:rsidRDefault="00E76E28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5045AC94" w14:textId="3313211B" w:rsidR="00BC743A" w:rsidRDefault="00581EBD" w:rsidP="00581E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LAURA ANGELICA MEJIA OSPINA</w:t>
      </w:r>
    </w:p>
    <w:p w14:paraId="47BB5C21" w14:textId="77777777" w:rsidR="00056304" w:rsidRDefault="00056304">
      <w:pPr>
        <w:rPr>
          <w:b/>
          <w:bCs/>
        </w:rPr>
      </w:pPr>
    </w:p>
    <w:p w14:paraId="5CE3BC29" w14:textId="19120680" w:rsidR="00056304" w:rsidRDefault="00056304">
      <w:pPr>
        <w:rPr>
          <w:b/>
          <w:bCs/>
        </w:rPr>
      </w:pPr>
    </w:p>
    <w:p w14:paraId="6EE5146E" w14:textId="77777777" w:rsidR="007957AA" w:rsidRDefault="007957AA" w:rsidP="007957AA"/>
    <w:p w14:paraId="32333962" w14:textId="77777777" w:rsidR="00A45DD3" w:rsidRDefault="00A45DD3" w:rsidP="007957AA"/>
    <w:p w14:paraId="2700553C" w14:textId="06E62276" w:rsidR="00A45DD3" w:rsidRDefault="00A45DD3" w:rsidP="00A45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2AEBF" w14:textId="304B3B2A" w:rsidR="00A45DD3" w:rsidRPr="00F4627E" w:rsidRDefault="00A45DD3" w:rsidP="00A45D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791FEE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/03/2024</w:t>
      </w:r>
    </w:p>
    <w:p w14:paraId="7BBACF50" w14:textId="77777777" w:rsidR="00A45DD3" w:rsidRDefault="00A45DD3" w:rsidP="007957AA"/>
    <w:p w14:paraId="0A2BE42E" w14:textId="77777777" w:rsidR="00791FEE" w:rsidRDefault="00CE62DC" w:rsidP="00CE62DC">
      <w:pPr>
        <w:pStyle w:val="Ttulo1"/>
        <w:jc w:val="center"/>
        <w:rPr>
          <w:noProof/>
        </w:rPr>
      </w:pPr>
      <w:bookmarkStart w:id="0" w:name="_Toc160564629"/>
      <w:r>
        <w:lastRenderedPageBreak/>
        <w:t>TABLA DE CONTENIDO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5C803D18" w14:textId="4DFAFAD7" w:rsidR="00791FEE" w:rsidRDefault="00791FEE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29" w:history="1">
        <w:r w:rsidRPr="00822B60">
          <w:rPr>
            <w:rStyle w:val="Hipervnculo"/>
            <w:noProof/>
          </w:rPr>
          <w:t>TABLA DE 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B4B7CE" w14:textId="15EE21F2" w:rsidR="00791FEE" w:rsidRDefault="00791FEE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30" w:history="1">
        <w:r w:rsidRPr="00822B60">
          <w:rPr>
            <w:rStyle w:val="Hipervnculo"/>
            <w:noProof/>
          </w:rPr>
          <w:t>El sistema de 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FC3DDE" w14:textId="29A1A8BA" w:rsidR="00791FEE" w:rsidRDefault="00791FEE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31" w:history="1">
        <w:r w:rsidRPr="00822B60">
          <w:rPr>
            <w:rStyle w:val="Hipervnculo"/>
            <w:noProof/>
          </w:rPr>
          <w:t>El suprasistema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DE33EF" w14:textId="2F8F0A6C" w:rsidR="00791FEE" w:rsidRDefault="00791FEE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32" w:history="1">
        <w:r w:rsidRPr="00822B60">
          <w:rPr>
            <w:rStyle w:val="Hipervnculo"/>
            <w:noProof/>
          </w:rPr>
          <w:t>Los subsistemas más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7B19D5" w14:textId="67E9224A" w:rsidR="00791FEE" w:rsidRDefault="00791FEE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33" w:history="1">
        <w:r w:rsidRPr="00822B60">
          <w:rPr>
            <w:rStyle w:val="Hipervnculo"/>
            <w:noProof/>
          </w:rPr>
          <w:t>Investigación teórica sobre 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9B018E" w14:textId="63B1A6AC" w:rsidR="00791FEE" w:rsidRDefault="00791FEE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60564634" w:history="1">
        <w:r w:rsidRPr="00822B60">
          <w:rPr>
            <w:rStyle w:val="Hipervnculo"/>
            <w:noProof/>
          </w:rPr>
          <w:t>Contexto de la subasta del espectro 5G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97841F" w14:textId="13416D1C" w:rsidR="00791FEE" w:rsidRDefault="00791FEE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60564635" w:history="1">
        <w:r w:rsidRPr="00822B60">
          <w:rPr>
            <w:rStyle w:val="Hipervnculo"/>
            <w:noProof/>
          </w:rPr>
          <w:t>Despliegue de la red 5G por los operadores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B46372" w14:textId="11F5EC85" w:rsidR="00791FEE" w:rsidRDefault="00791FEE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60564636" w:history="1">
        <w:r w:rsidRPr="00822B60">
          <w:rPr>
            <w:rStyle w:val="Hipervnculo"/>
            <w:noProof/>
          </w:rPr>
          <w:t>Impacto económico y tecnológico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57B925" w14:textId="18EE0BA2" w:rsidR="00791FEE" w:rsidRDefault="00791FEE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60564637" w:history="1">
        <w:r w:rsidRPr="00822B60">
          <w:rPr>
            <w:rStyle w:val="Hipervnculo"/>
            <w:noProof/>
          </w:rPr>
          <w:t>Regulación y políticas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66AB25" w14:textId="3795AFBF" w:rsidR="00791FEE" w:rsidRDefault="00791FEE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60564638" w:history="1">
        <w:r w:rsidRPr="00822B60">
          <w:rPr>
            <w:rStyle w:val="Hipervnculo"/>
            <w:noProof/>
          </w:rPr>
          <w:t>Beneficios para sectores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C050BC" w14:textId="53B06836" w:rsidR="00791FEE" w:rsidRDefault="00791FEE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60564639" w:history="1">
        <w:r w:rsidRPr="00822B60">
          <w:rPr>
            <w:rStyle w:val="Hipervnculo"/>
            <w:noProof/>
          </w:rPr>
          <w:t>Uso eficiente del espectro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E5E8CE" w14:textId="1C9ABCC2" w:rsidR="00791FEE" w:rsidRDefault="00791FEE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60564640" w:history="1">
        <w:r w:rsidRPr="00822B60">
          <w:rPr>
            <w:rStyle w:val="Hipervnculo"/>
            <w:noProof/>
          </w:rPr>
          <w:t>Desafíos y oportunidades futuras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20FCA2" w14:textId="517AA67E" w:rsidR="00791FEE" w:rsidRDefault="00791FEE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41" w:history="1">
        <w:r w:rsidRPr="00822B60">
          <w:rPr>
            <w:rStyle w:val="Hipervnculo"/>
            <w:noProof/>
          </w:rPr>
          <w:t>Declaración de las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888580" w14:textId="43FEA63F" w:rsidR="00791FEE" w:rsidRDefault="00791FEE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42" w:history="1">
        <w:r w:rsidRPr="00822B60">
          <w:rPr>
            <w:rStyle w:val="Hipervnculo"/>
            <w:noProof/>
          </w:rPr>
          <w:t>Relaciones causa-efecto entre las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76779C" w14:textId="078C706D" w:rsidR="00791FEE" w:rsidRDefault="00791FEE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43" w:history="1">
        <w:r w:rsidRPr="00822B60">
          <w:rPr>
            <w:rStyle w:val="Hipervnculo"/>
            <w:noProof/>
          </w:rPr>
          <w:t>Arquetipo de Escalada Aplicado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D77C1A" w14:textId="783DB863" w:rsidR="00791FEE" w:rsidRDefault="00791FEE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44" w:history="1">
        <w:r w:rsidRPr="00822B60">
          <w:rPr>
            <w:rStyle w:val="Hipervnculo"/>
            <w:noProof/>
          </w:rPr>
          <w:t>Diagrama Causal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C0E8E2" w14:textId="508E0C25" w:rsidR="00791FEE" w:rsidRDefault="00791FEE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45" w:history="1">
        <w:r w:rsidRPr="00822B60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B2EE42" w14:textId="2440B41A" w:rsidR="00791FEE" w:rsidRDefault="00791FEE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46" w:history="1">
        <w:r w:rsidRPr="00822B60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_Toc160564646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1C6109" w14:textId="210124BE" w:rsidR="00CE62DC" w:rsidRDefault="00CE62DC" w:rsidP="00CE62DC">
      <w:pPr>
        <w:pStyle w:val="Ttulo1"/>
      </w:pPr>
      <w:r>
        <w:fldChar w:fldCharType="end"/>
      </w:r>
    </w:p>
    <w:p w14:paraId="41CABE31" w14:textId="77777777" w:rsidR="00CE62DC" w:rsidRDefault="00CE62DC" w:rsidP="00056304"/>
    <w:p w14:paraId="06D4FBAC" w14:textId="77777777" w:rsidR="00CE62DC" w:rsidRDefault="00CE62DC" w:rsidP="00056304"/>
    <w:p w14:paraId="0C4B06D2" w14:textId="77777777" w:rsidR="00CE62DC" w:rsidRDefault="00CE62DC" w:rsidP="00056304"/>
    <w:p w14:paraId="0D777FAC" w14:textId="77777777" w:rsidR="00CE62DC" w:rsidRDefault="00CE62DC" w:rsidP="00056304"/>
    <w:p w14:paraId="7FB383F6" w14:textId="77777777" w:rsidR="00296380" w:rsidRDefault="00296380" w:rsidP="00056304"/>
    <w:p w14:paraId="0307AE48" w14:textId="743E6846" w:rsidR="00056304" w:rsidRDefault="00056304" w:rsidP="00CE62DC">
      <w:pPr>
        <w:pStyle w:val="Ttulo1"/>
      </w:pPr>
      <w:bookmarkStart w:id="1" w:name="_Toc160564630"/>
      <w:r>
        <w:t>El sistema de análisis</w:t>
      </w:r>
      <w:bookmarkEnd w:id="1"/>
    </w:p>
    <w:p w14:paraId="5051715C" w14:textId="3845678D" w:rsidR="00F4627E" w:rsidRPr="00F4627E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Este sistema se enfoca en comprender y mejorar la cobertura de los servicios de telecomunicaciones en áreas marginadas. Sus objetivos incluyen identificar áreas de baja cobertura, desarrollar estrategias para expandir la infraestructura de redes y mejorar la calidad de los servicios.</w:t>
      </w:r>
    </w:p>
    <w:p w14:paraId="58B5B7FB" w14:textId="77777777" w:rsidR="00056304" w:rsidRDefault="00056304" w:rsidP="00CE62DC">
      <w:pPr>
        <w:pStyle w:val="Ttulo1"/>
      </w:pPr>
      <w:bookmarkStart w:id="2" w:name="_Toc160564631"/>
      <w:r>
        <w:t>El suprasistema</w:t>
      </w:r>
      <w:bookmarkEnd w:id="2"/>
    </w:p>
    <w:p w14:paraId="5C0C0B1D" w14:textId="0259E0BF" w:rsidR="00F4627E" w:rsidRPr="00F4627E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Podría considerarse como el</w:t>
      </w:r>
      <w:r w:rsidR="007714CD" w:rsidRPr="007714CD">
        <w:rPr>
          <w:rFonts w:ascii="Times New Roman" w:hAnsi="Times New Roman" w:cs="Times New Roman"/>
          <w:sz w:val="24"/>
          <w:szCs w:val="24"/>
        </w:rPr>
        <w:t xml:space="preserve"> entorno político, económico y tecnológico en el que operan las redes de telecomunicaciones en Colombia, considerando los esfuerzos del Gobierno y los operadores móviles para implementar el 5G.</w:t>
      </w:r>
    </w:p>
    <w:p w14:paraId="0B9C6A02" w14:textId="4E5FEF05" w:rsidR="00056304" w:rsidRDefault="00056304" w:rsidP="00CE62DC">
      <w:pPr>
        <w:pStyle w:val="Ttulo1"/>
      </w:pPr>
      <w:bookmarkStart w:id="3" w:name="_Toc160564632"/>
      <w:r w:rsidRPr="00CE62DC">
        <w:t>Los subsistemas más importantes</w:t>
      </w:r>
      <w:bookmarkEnd w:id="3"/>
    </w:p>
    <w:p w14:paraId="301031B6" w14:textId="679D17BA" w:rsidR="00F4627E" w:rsidRPr="00F4627E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Pueden incluir la infraestructura de red (antenas, torres, cables), la tecnología de transmisión (LTE, 5G), los dispositivos de usuario (teléfonos móviles, computadoras), la regulación gubernamental y las políticas de acceso.</w:t>
      </w:r>
    </w:p>
    <w:p w14:paraId="74D7F888" w14:textId="7DCC3E35" w:rsidR="00056304" w:rsidRDefault="003D0AD9" w:rsidP="00CE62DC">
      <w:pPr>
        <w:pStyle w:val="Ttulo1"/>
      </w:pPr>
      <w:bookmarkStart w:id="4" w:name="_Toc160564633"/>
      <w:r>
        <w:t>I</w:t>
      </w:r>
      <w:r w:rsidR="00056304" w:rsidRPr="00056304">
        <w:t>nvestigación teórica sobre el sistema.</w:t>
      </w:r>
      <w:bookmarkEnd w:id="4"/>
    </w:p>
    <w:p w14:paraId="1B35756D" w14:textId="77777777" w:rsidR="00647207" w:rsidRDefault="00647207" w:rsidP="00647207">
      <w:pPr>
        <w:rPr>
          <w:rStyle w:val="Ttulo2Car"/>
        </w:rPr>
      </w:pPr>
      <w:bookmarkStart w:id="5" w:name="_Toc160564634"/>
      <w:r w:rsidRPr="00647207">
        <w:rPr>
          <w:rStyle w:val="Ttulo2Car"/>
        </w:rPr>
        <w:t>Contexto de la subasta del espectro 5G</w:t>
      </w:r>
      <w:bookmarkEnd w:id="5"/>
    </w:p>
    <w:p w14:paraId="1A1A27A9" w14:textId="4F9CA034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Descripción del proceso de subasta del espectro 5G en Colombia, incluyendo los participantes, los bloques de espectro subastados y el recaudo total.</w:t>
      </w:r>
    </w:p>
    <w:p w14:paraId="484EE11D" w14:textId="77777777" w:rsidR="00647207" w:rsidRDefault="00647207" w:rsidP="00647207">
      <w:pPr>
        <w:rPr>
          <w:rStyle w:val="Ttulo2Car"/>
        </w:rPr>
      </w:pPr>
      <w:bookmarkStart w:id="6" w:name="_Toc160564635"/>
      <w:r w:rsidRPr="00647207">
        <w:rPr>
          <w:rStyle w:val="Ttulo2Car"/>
        </w:rPr>
        <w:t>Despliegue de la red 5G por los operadore</w:t>
      </w:r>
      <w:r>
        <w:rPr>
          <w:rStyle w:val="Ttulo2Car"/>
        </w:rPr>
        <w:t>s</w:t>
      </w:r>
      <w:bookmarkEnd w:id="6"/>
    </w:p>
    <w:p w14:paraId="0407E03F" w14:textId="1312B453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 xml:space="preserve">Detalles sobre cómo Claro, Movistar-Tigo, </w:t>
      </w:r>
      <w:proofErr w:type="spellStart"/>
      <w:r w:rsidRPr="00647207">
        <w:rPr>
          <w:rFonts w:ascii="Times New Roman" w:hAnsi="Times New Roman" w:cs="Times New Roman"/>
          <w:sz w:val="24"/>
          <w:szCs w:val="24"/>
        </w:rPr>
        <w:t>Wom</w:t>
      </w:r>
      <w:proofErr w:type="spellEnd"/>
      <w:r w:rsidRPr="0064720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47207">
        <w:rPr>
          <w:rFonts w:ascii="Times New Roman" w:hAnsi="Times New Roman" w:cs="Times New Roman"/>
          <w:sz w:val="24"/>
          <w:szCs w:val="24"/>
        </w:rPr>
        <w:t>Telecall</w:t>
      </w:r>
      <w:proofErr w:type="spellEnd"/>
      <w:r w:rsidRPr="00647207">
        <w:rPr>
          <w:rFonts w:ascii="Times New Roman" w:hAnsi="Times New Roman" w:cs="Times New Roman"/>
          <w:sz w:val="24"/>
          <w:szCs w:val="24"/>
        </w:rPr>
        <w:t xml:space="preserve"> planean implementar la red 5G en Colombia, incluyendo el cronograma previsto y las áreas geográficas cubiertas inicialmente.</w:t>
      </w:r>
    </w:p>
    <w:p w14:paraId="5122316F" w14:textId="77777777" w:rsidR="00647207" w:rsidRDefault="00647207" w:rsidP="0002219C">
      <w:pPr>
        <w:pStyle w:val="Ttulo2"/>
      </w:pPr>
      <w:bookmarkStart w:id="7" w:name="_Toc160564636"/>
      <w:r w:rsidRPr="00647207">
        <w:t>Impacto económico y tecnológico</w:t>
      </w:r>
      <w:bookmarkEnd w:id="7"/>
    </w:p>
    <w:p w14:paraId="56E72BA1" w14:textId="58E98EA8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Análisis del impacto económico y tecnológico del despliegue de la red 5G en Colombia, incluyendo la mejora en la velocidad y la calidad de los servicios de telecomunicaciones, así como las nuevas oportunidades de negocio que podría generar.</w:t>
      </w:r>
    </w:p>
    <w:p w14:paraId="6BB6E2BF" w14:textId="77777777" w:rsidR="00647207" w:rsidRDefault="00647207" w:rsidP="0002219C">
      <w:pPr>
        <w:pStyle w:val="Ttulo2"/>
      </w:pPr>
      <w:bookmarkStart w:id="8" w:name="_Toc160564637"/>
      <w:r w:rsidRPr="00647207">
        <w:lastRenderedPageBreak/>
        <w:t>Regulación y políticas</w:t>
      </w:r>
      <w:bookmarkEnd w:id="8"/>
    </w:p>
    <w:p w14:paraId="6EE148D3" w14:textId="4B782A26" w:rsid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Discusión sobre la regulación y las políticas gubernamentales relacionadas con el despliegue de la red 5G en Colombia, incluyendo las medidas para evitar monopolios y garantizar una competencia justa en el mercado de las telecomunicaciones.</w:t>
      </w:r>
    </w:p>
    <w:p w14:paraId="6982B05E" w14:textId="77777777" w:rsidR="0002219C" w:rsidRPr="00647207" w:rsidRDefault="0002219C" w:rsidP="00647207">
      <w:pPr>
        <w:rPr>
          <w:rFonts w:ascii="Times New Roman" w:hAnsi="Times New Roman" w:cs="Times New Roman"/>
          <w:sz w:val="24"/>
          <w:szCs w:val="24"/>
        </w:rPr>
      </w:pPr>
    </w:p>
    <w:p w14:paraId="753D4B21" w14:textId="77777777" w:rsidR="00647207" w:rsidRDefault="00647207" w:rsidP="0002219C">
      <w:pPr>
        <w:pStyle w:val="Ttulo2"/>
      </w:pPr>
      <w:bookmarkStart w:id="9" w:name="_Toc160564638"/>
      <w:r w:rsidRPr="00647207">
        <w:t>Beneficios para sectores específicos</w:t>
      </w:r>
      <w:bookmarkEnd w:id="9"/>
    </w:p>
    <w:p w14:paraId="53B3B9AB" w14:textId="158A49C8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Análisis de los beneficios que la red 5G podría aportar a sectores específicos de la economía colombiana, como la agricultura, la minería y los servicios públicos, gracias a la mayor cobertura y eficiencia en la transmisión de datos.</w:t>
      </w:r>
    </w:p>
    <w:p w14:paraId="30E6A811" w14:textId="77777777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</w:p>
    <w:p w14:paraId="45987063" w14:textId="77777777" w:rsidR="00647207" w:rsidRDefault="00647207" w:rsidP="0002219C">
      <w:pPr>
        <w:pStyle w:val="Ttulo2"/>
      </w:pPr>
      <w:bookmarkStart w:id="10" w:name="_Toc160564639"/>
      <w:r w:rsidRPr="00647207">
        <w:t>Uso eficiente del espectro</w:t>
      </w:r>
      <w:bookmarkEnd w:id="10"/>
    </w:p>
    <w:p w14:paraId="1BCA70F1" w14:textId="041C6A4C" w:rsid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Descripción de las medidas tomadas por el gobierno colombiano y la Agencia Nacional del Espectro (ANE) para garantizar un uso eficiente del espectro radioeléctrico, incluyendo la identificación de nuevos espectros para mejorar la cobertura en zonas rurales y menos desarrolladas.</w:t>
      </w:r>
    </w:p>
    <w:p w14:paraId="30CED6B6" w14:textId="77777777" w:rsidR="007C08F9" w:rsidRPr="00647207" w:rsidRDefault="007C08F9" w:rsidP="00647207">
      <w:pPr>
        <w:rPr>
          <w:rFonts w:ascii="Times New Roman" w:hAnsi="Times New Roman" w:cs="Times New Roman"/>
          <w:sz w:val="24"/>
          <w:szCs w:val="24"/>
        </w:rPr>
      </w:pPr>
    </w:p>
    <w:p w14:paraId="0219E704" w14:textId="77777777" w:rsidR="00647207" w:rsidRDefault="00647207" w:rsidP="0002219C">
      <w:pPr>
        <w:pStyle w:val="Ttulo2"/>
      </w:pPr>
      <w:bookmarkStart w:id="11" w:name="_Toc160564640"/>
      <w:r w:rsidRPr="00647207">
        <w:t>Desafíos y oportunidades futuras</w:t>
      </w:r>
      <w:bookmarkEnd w:id="11"/>
    </w:p>
    <w:p w14:paraId="36670E98" w14:textId="36C02F8A" w:rsidR="00F4627E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Identificación de los desafíos y las oportunidades futuras que enfrentará Colombia en la implementación y adopción de la red 5G, incluyendo la necesidad de infraestructura adecuada y la capacitación de personal especializado.</w:t>
      </w:r>
    </w:p>
    <w:p w14:paraId="1BEE2D9F" w14:textId="77777777" w:rsidR="007C08F9" w:rsidRDefault="007C08F9" w:rsidP="00647207">
      <w:pPr>
        <w:rPr>
          <w:rFonts w:ascii="Times New Roman" w:hAnsi="Times New Roman" w:cs="Times New Roman"/>
          <w:sz w:val="24"/>
          <w:szCs w:val="24"/>
        </w:rPr>
      </w:pPr>
    </w:p>
    <w:p w14:paraId="20405F6C" w14:textId="789E42E1" w:rsidR="00056304" w:rsidRDefault="00056304" w:rsidP="00CE62DC">
      <w:pPr>
        <w:pStyle w:val="Ttulo1"/>
        <w:rPr>
          <w:rFonts w:eastAsiaTheme="minorHAnsi"/>
        </w:rPr>
      </w:pPr>
      <w:bookmarkStart w:id="12" w:name="_Toc160564641"/>
      <w:r w:rsidRPr="00056304">
        <w:rPr>
          <w:rFonts w:eastAsiaTheme="minorHAnsi"/>
        </w:rPr>
        <w:t>Declara</w:t>
      </w:r>
      <w:r w:rsidR="003D0AD9">
        <w:rPr>
          <w:rFonts w:eastAsiaTheme="minorHAnsi"/>
        </w:rPr>
        <w:t>ción de</w:t>
      </w:r>
      <w:r w:rsidRPr="00056304">
        <w:rPr>
          <w:rFonts w:eastAsiaTheme="minorHAnsi"/>
        </w:rPr>
        <w:t xml:space="preserve"> las variables</w:t>
      </w:r>
      <w:bookmarkEnd w:id="12"/>
    </w:p>
    <w:p w14:paraId="3F38165A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Demanda de servicios de telecomunicaciones.</w:t>
      </w:r>
    </w:p>
    <w:p w14:paraId="65BE458C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Disponibilidad de infraestructura de red.</w:t>
      </w:r>
    </w:p>
    <w:p w14:paraId="4F7EF74E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Acceso a tecnologías de transmisión de datos.</w:t>
      </w:r>
    </w:p>
    <w:p w14:paraId="54E2574F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inversión en infraestructura.</w:t>
      </w:r>
    </w:p>
    <w:p w14:paraId="0A3C41BA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Factores geográficos y topográficos que afectan la cobertura.</w:t>
      </w:r>
    </w:p>
    <w:p w14:paraId="44B22FBF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Políticas gubernamentales sobre acceso a telecomunicaciones.</w:t>
      </w:r>
    </w:p>
    <w:p w14:paraId="02DE8E8D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competencia en el mercado de telecomunicaciones.</w:t>
      </w:r>
    </w:p>
    <w:p w14:paraId="2F0F7ABC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desarrollo económico en las áreas de interés.</w:t>
      </w:r>
    </w:p>
    <w:p w14:paraId="7FE44B06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Factores socioculturales que afectan la adopción de servicios.</w:t>
      </w:r>
    </w:p>
    <w:p w14:paraId="741F1605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Disponibilidad de energía eléctrica para la infraestructura.</w:t>
      </w:r>
    </w:p>
    <w:p w14:paraId="679CACEF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Disponibilidad de recursos humanos capacitados.</w:t>
      </w:r>
    </w:p>
    <w:p w14:paraId="00A3350E" w14:textId="77777777" w:rsidR="003D0AD9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seguridad y estabilidad política en las áreas de interés.</w:t>
      </w:r>
    </w:p>
    <w:p w14:paraId="3E3EB93B" w14:textId="01CE2763" w:rsidR="00E91EB3" w:rsidRDefault="00E91EB3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Calidad en el Servicio</w:t>
      </w:r>
    </w:p>
    <w:p w14:paraId="2CCA5B2A" w14:textId="65121575" w:rsidR="00E91EB3" w:rsidRDefault="00E91EB3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Reducción Precios</w:t>
      </w:r>
    </w:p>
    <w:p w14:paraId="75AE6A7C" w14:textId="77777777" w:rsidR="003D0AD9" w:rsidRDefault="003D0AD9" w:rsidP="003D0AD9"/>
    <w:p w14:paraId="5DAA4A58" w14:textId="77777777" w:rsidR="007C08F9" w:rsidRDefault="007C08F9" w:rsidP="003D0AD9"/>
    <w:p w14:paraId="44074758" w14:textId="77777777" w:rsidR="007C08F9" w:rsidRPr="003D0AD9" w:rsidRDefault="007C08F9" w:rsidP="003D0AD9"/>
    <w:p w14:paraId="784BA06A" w14:textId="5484C582" w:rsidR="008F758B" w:rsidRDefault="003D0AD9" w:rsidP="00CE62DC">
      <w:pPr>
        <w:pStyle w:val="Ttulo1"/>
        <w:rPr>
          <w:rFonts w:eastAsiaTheme="minorHAnsi"/>
        </w:rPr>
      </w:pPr>
      <w:bookmarkStart w:id="13" w:name="_Toc160564642"/>
      <w:r>
        <w:rPr>
          <w:rFonts w:eastAsiaTheme="minorHAnsi"/>
        </w:rPr>
        <w:t xml:space="preserve">Relaciones </w:t>
      </w:r>
      <w:r w:rsidR="00056304" w:rsidRPr="00056304">
        <w:rPr>
          <w:rFonts w:eastAsiaTheme="minorHAnsi"/>
        </w:rPr>
        <w:t>causa-efecto entre las variables</w:t>
      </w:r>
      <w:bookmarkEnd w:id="13"/>
    </w:p>
    <w:p w14:paraId="7A102CD1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Mayor demanda de servicios -&gt; Necesidad de expansión de infraestructura.</w:t>
      </w:r>
    </w:p>
    <w:p w14:paraId="59944B81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Mayor inversión en infraestructura -&gt; Mejora de la cobertura.</w:t>
      </w:r>
    </w:p>
    <w:p w14:paraId="29217E30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Políticas gubernamentales favorables -&gt; Mayor competencia en el mercado.</w:t>
      </w:r>
    </w:p>
    <w:p w14:paraId="04F2C79D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Factores geográficos desafiantes -&gt; Necesidad de tecnologías de transmisión avanzadas.</w:t>
      </w:r>
    </w:p>
    <w:p w14:paraId="3B02EA8C" w14:textId="72C439E6" w:rsidR="00983B75" w:rsidRPr="00056304" w:rsidRDefault="00F4627E" w:rsidP="00F4627E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Mayor competencia en el mercado -&gt; Mejora en la calidad de los servicios.</w:t>
      </w:r>
    </w:p>
    <w:p w14:paraId="607E563A" w14:textId="2DECEE87" w:rsidR="00F33AB4" w:rsidRDefault="00983B75" w:rsidP="00F33AB4">
      <w:pPr>
        <w:pStyle w:val="Ttulo1"/>
        <w:rPr>
          <w:rFonts w:cs="Times New Roman"/>
          <w:strike/>
          <w:szCs w:val="24"/>
        </w:rPr>
      </w:pPr>
      <w:bookmarkStart w:id="14" w:name="_Toc160564643"/>
      <w:r>
        <w:rPr>
          <w:rFonts w:eastAsiaTheme="minorHAnsi"/>
        </w:rPr>
        <w:t>A</w:t>
      </w:r>
      <w:r w:rsidR="00056304" w:rsidRPr="00056304">
        <w:rPr>
          <w:rFonts w:eastAsiaTheme="minorHAnsi"/>
        </w:rPr>
        <w:t>rquetipo</w:t>
      </w:r>
      <w:r w:rsidR="00F33AB4">
        <w:rPr>
          <w:rFonts w:eastAsiaTheme="minorHAnsi"/>
        </w:rPr>
        <w:t xml:space="preserve"> de Escalada Aplicado</w:t>
      </w:r>
      <w:bookmarkEnd w:id="14"/>
    </w:p>
    <w:p w14:paraId="31972073" w14:textId="77777777" w:rsidR="00F33AB4" w:rsidRP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B4">
        <w:rPr>
          <w:rFonts w:ascii="Times New Roman" w:hAnsi="Times New Roman" w:cs="Times New Roman"/>
          <w:b/>
          <w:bCs/>
          <w:sz w:val="24"/>
          <w:szCs w:val="24"/>
        </w:rPr>
        <w:t>Inicio del Ciclo:</w:t>
      </w:r>
    </w:p>
    <w:p w14:paraId="4E6420FA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Gobierno: Implementa políticas y subsidios para incentivar la inversión en la expansión de la red 5G.</w:t>
      </w:r>
    </w:p>
    <w:p w14:paraId="7251E6B1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Compañías de Telecomunicaciones: Comienzan a competir por licencias para operar en nuevas regiones, invirtiendo en infraestructura básica.</w:t>
      </w:r>
    </w:p>
    <w:p w14:paraId="4B0C0644" w14:textId="77777777" w:rsidR="00F33AB4" w:rsidRP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B4">
        <w:rPr>
          <w:rFonts w:ascii="Times New Roman" w:hAnsi="Times New Roman" w:cs="Times New Roman"/>
          <w:b/>
          <w:bCs/>
          <w:sz w:val="24"/>
          <w:szCs w:val="24"/>
        </w:rPr>
        <w:t>Primera Escalada:</w:t>
      </w:r>
    </w:p>
    <w:p w14:paraId="26732BCE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Comunidades Locales: Exigen mejor conectividad y servicios de calidad comparable a las zonas urbanas.</w:t>
      </w:r>
    </w:p>
    <w:p w14:paraId="2B644D7C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Gobierno y Empresas: Responden aumentando la inversión y acelerando los proyectos de infraestructura para satisfacer estas demandas.</w:t>
      </w:r>
    </w:p>
    <w:p w14:paraId="41FD6B1C" w14:textId="77777777" w:rsidR="00F33AB4" w:rsidRP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B4">
        <w:rPr>
          <w:rFonts w:ascii="Times New Roman" w:hAnsi="Times New Roman" w:cs="Times New Roman"/>
          <w:b/>
          <w:bCs/>
          <w:sz w:val="24"/>
          <w:szCs w:val="24"/>
        </w:rPr>
        <w:t>Segunda Escalada:</w:t>
      </w:r>
    </w:p>
    <w:p w14:paraId="32AE7E67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Competencia entre Empresas: A medida que una empresa amplía su cobertura, las otras se sienten presionadas a acelerar su propia expansión para no quedarse atrás, aumentando la inversión y la velocidad de despliegue.</w:t>
      </w:r>
    </w:p>
    <w:p w14:paraId="6B3413C0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Gobierno: Puede sentir la presión para facilitar aún más este proceso, posiblemente a través de la reducción de regulaciones, la oferta de incentivos adicionales, o la mejora de la infraestructura pública necesaria.</w:t>
      </w:r>
    </w:p>
    <w:p w14:paraId="47E6A0E4" w14:textId="77777777" w:rsidR="00F33AB4" w:rsidRP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B4">
        <w:rPr>
          <w:rFonts w:ascii="Times New Roman" w:hAnsi="Times New Roman" w:cs="Times New Roman"/>
          <w:b/>
          <w:bCs/>
          <w:sz w:val="24"/>
          <w:szCs w:val="24"/>
        </w:rPr>
        <w:t>Resultados y Retroalimentación:</w:t>
      </w:r>
    </w:p>
    <w:p w14:paraId="0B6BA3CD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lastRenderedPageBreak/>
        <w:t>Éxito en la Expansión: La cobertura de la red 5G se expande exitosamente, mejorando la conectividad en las regiones objetivo.</w:t>
      </w:r>
    </w:p>
    <w:p w14:paraId="3B779FA7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Desafíos Potenciales: La escalada en inversión y esfuerzos puede llevar a sobrecostos, disputas sobre la equidad en el acceso a los servicios, o impactos ambientales no previstos debido a la aceleración del despliegue.</w:t>
      </w:r>
    </w:p>
    <w:p w14:paraId="6AA30063" w14:textId="77777777" w:rsid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CFAF9" w14:textId="77777777" w:rsid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49BA3" w14:textId="0A52B4C1" w:rsidR="00F33AB4" w:rsidRP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B4">
        <w:rPr>
          <w:rFonts w:ascii="Times New Roman" w:hAnsi="Times New Roman" w:cs="Times New Roman"/>
          <w:b/>
          <w:bCs/>
          <w:sz w:val="24"/>
          <w:szCs w:val="24"/>
        </w:rPr>
        <w:t>Estabilización:</w:t>
      </w:r>
    </w:p>
    <w:p w14:paraId="17FC7981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Ajustes Regulatorios y de Política: Para evitar resultados negativos, el gobierno podría necesitar ajustar sus políticas y enfoques regulatorios para garantizar que la expansión sea sostenible, equitativa y ambientalmente responsable.</w:t>
      </w:r>
    </w:p>
    <w:p w14:paraId="59D4C5CB" w14:textId="4BCDF7B8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Este escenario de "Escalada" refleja cómo la interacción dinámica entre los actores involucrados en la expansión de la red 5G puede llevar a un ciclo de incremento en el esfuerzo y la inversión. Es crucial monitorear y gestionar este ciclo para asegurar que la expansión no solo sea rápida sino también sostenible y benéfica para todas las partes interesadas.</w:t>
      </w:r>
    </w:p>
    <w:p w14:paraId="20BC9B0D" w14:textId="77777777" w:rsidR="008B7562" w:rsidRDefault="008B7562" w:rsidP="00A45DD3">
      <w:pPr>
        <w:rPr>
          <w:rFonts w:ascii="Times New Roman" w:hAnsi="Times New Roman" w:cs="Times New Roman"/>
          <w:sz w:val="24"/>
          <w:szCs w:val="24"/>
        </w:rPr>
      </w:pPr>
    </w:p>
    <w:p w14:paraId="33233771" w14:textId="5D8E2227" w:rsidR="008B7562" w:rsidRDefault="00791FEE" w:rsidP="009D37E0">
      <w:pPr>
        <w:pStyle w:val="Ttulo1"/>
        <w:rPr>
          <w:rFonts w:cs="Times New Roman"/>
          <w:szCs w:val="24"/>
        </w:rPr>
      </w:pPr>
      <w:bookmarkStart w:id="15" w:name="_Toc160564644"/>
      <w:r>
        <w:rPr>
          <w:rFonts w:cs="Times New Roman"/>
          <w:noProof/>
          <w:szCs w:val="24"/>
        </w:rPr>
        <w:drawing>
          <wp:anchor distT="0" distB="0" distL="114300" distR="114300" simplePos="0" relativeHeight="251658752" behindDoc="0" locked="0" layoutInCell="1" allowOverlap="1" wp14:anchorId="28253575" wp14:editId="746A6ED0">
            <wp:simplePos x="0" y="0"/>
            <wp:positionH relativeFrom="column">
              <wp:posOffset>-973455</wp:posOffset>
            </wp:positionH>
            <wp:positionV relativeFrom="paragraph">
              <wp:posOffset>688975</wp:posOffset>
            </wp:positionV>
            <wp:extent cx="7458075" cy="2872740"/>
            <wp:effectExtent l="0" t="0" r="0" b="0"/>
            <wp:wrapSquare wrapText="bothSides"/>
            <wp:docPr id="13785359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35997" name="Imagen 13785359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562">
        <w:t>Diagrama Causal</w:t>
      </w:r>
      <w:bookmarkEnd w:id="15"/>
    </w:p>
    <w:p w14:paraId="30BF1A12" w14:textId="3DC80F58" w:rsidR="0036727E" w:rsidRDefault="0036727E" w:rsidP="00A45DD3">
      <w:pPr>
        <w:rPr>
          <w:rFonts w:ascii="Times New Roman" w:hAnsi="Times New Roman" w:cs="Times New Roman"/>
          <w:sz w:val="24"/>
          <w:szCs w:val="24"/>
        </w:rPr>
      </w:pPr>
    </w:p>
    <w:p w14:paraId="62B13B03" w14:textId="5055A305" w:rsidR="0036727E" w:rsidRDefault="00791FEE" w:rsidP="00791FEE">
      <w:pPr>
        <w:pStyle w:val="Ttulo1"/>
      </w:pPr>
      <w:bookmarkStart w:id="16" w:name="_Toc160564645"/>
      <w:r>
        <w:lastRenderedPageBreak/>
        <w:t>Conclusiones</w:t>
      </w:r>
      <w:bookmarkEnd w:id="16"/>
    </w:p>
    <w:p w14:paraId="656EF15D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Enfoque en la mejora de la cobertura:</w:t>
      </w:r>
      <w:r w:rsidRPr="00791FEE">
        <w:rPr>
          <w:rFonts w:ascii="Times New Roman" w:hAnsi="Times New Roman" w:cs="Times New Roman"/>
          <w:sz w:val="24"/>
          <w:szCs w:val="24"/>
        </w:rPr>
        <w:t xml:space="preserve"> El sistema se centra en comprender y mejorar la cobertura de los servicios de telecomunicaciones en áreas marginadas, lo que demuestra un compromiso con la inclusión digital y el desarrollo equitativo.</w:t>
      </w:r>
    </w:p>
    <w:p w14:paraId="4E558964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Consideración del suprasistema:</w:t>
      </w:r>
      <w:r w:rsidRPr="00791FEE">
        <w:rPr>
          <w:rFonts w:ascii="Times New Roman" w:hAnsi="Times New Roman" w:cs="Times New Roman"/>
          <w:sz w:val="24"/>
          <w:szCs w:val="24"/>
        </w:rPr>
        <w:t xml:space="preserve"> La inclusión del entorno político, económico y tecnológico en el análisis muestra una comprensión profunda de los factores externos que afectan a las redes de telecomunicaciones en Colombia.</w:t>
      </w:r>
    </w:p>
    <w:p w14:paraId="4284AE0D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</w:p>
    <w:p w14:paraId="7715F1B3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Importancia de los subsistemas:</w:t>
      </w:r>
      <w:r w:rsidRPr="00791FEE">
        <w:rPr>
          <w:rFonts w:ascii="Times New Roman" w:hAnsi="Times New Roman" w:cs="Times New Roman"/>
          <w:sz w:val="24"/>
          <w:szCs w:val="24"/>
        </w:rPr>
        <w:t xml:space="preserve"> La infraestructura de red, la tecnología de transmisión, los dispositivos de usuario, la regulación gubernamental y las políticas de acceso son elementos clave que influyen en la calidad y alcance de los servicios de telecomunicaciones.</w:t>
      </w:r>
    </w:p>
    <w:p w14:paraId="638DCE9C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Impacto económico y tecnológico:</w:t>
      </w:r>
      <w:r w:rsidRPr="00791FEE">
        <w:rPr>
          <w:rFonts w:ascii="Times New Roman" w:hAnsi="Times New Roman" w:cs="Times New Roman"/>
          <w:sz w:val="24"/>
          <w:szCs w:val="24"/>
        </w:rPr>
        <w:t xml:space="preserve"> El despliegue de la red 5G en Colombia no solo mejorará la velocidad y calidad de los servicios, sino que también generará nuevas oportunidades de negocio en diversos sectores.</w:t>
      </w:r>
    </w:p>
    <w:p w14:paraId="693D7620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Regulación y políticas gubernamentales:</w:t>
      </w:r>
      <w:r w:rsidRPr="00791FEE">
        <w:rPr>
          <w:rFonts w:ascii="Times New Roman" w:hAnsi="Times New Roman" w:cs="Times New Roman"/>
          <w:sz w:val="24"/>
          <w:szCs w:val="24"/>
        </w:rPr>
        <w:t xml:space="preserve"> Es crucial contar con regulaciones y políticas que fomenten la competencia justa y eviten monopolios en el mercado de las telecomunicaciones, garantizando así un beneficio máximo para los usuarios.</w:t>
      </w:r>
    </w:p>
    <w:p w14:paraId="1D423CED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Beneficios sectoriales:</w:t>
      </w:r>
      <w:r w:rsidRPr="00791FEE">
        <w:rPr>
          <w:rFonts w:ascii="Times New Roman" w:hAnsi="Times New Roman" w:cs="Times New Roman"/>
          <w:sz w:val="24"/>
          <w:szCs w:val="24"/>
        </w:rPr>
        <w:t xml:space="preserve"> La red 5G puede aportar beneficios significativos a sectores específicos de la economía colombiana, como la agricultura, la minería y los servicios públicos, mejorando la eficiencia y productividad.</w:t>
      </w:r>
    </w:p>
    <w:p w14:paraId="4A8D8880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Uso eficiente del espectro:</w:t>
      </w:r>
      <w:r w:rsidRPr="00791FEE">
        <w:rPr>
          <w:rFonts w:ascii="Times New Roman" w:hAnsi="Times New Roman" w:cs="Times New Roman"/>
          <w:sz w:val="24"/>
          <w:szCs w:val="24"/>
        </w:rPr>
        <w:t xml:space="preserve"> Se están tomando medidas para garantizar un uso eficiente del espectro radioeléctrico, lo que es fundamental para mejorar la cobertura en zonas rurales y menos desarrolladas.</w:t>
      </w:r>
    </w:p>
    <w:p w14:paraId="36210385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Desafíos y oportunidades futuras:</w:t>
      </w:r>
      <w:r w:rsidRPr="00791FEE">
        <w:rPr>
          <w:rFonts w:ascii="Times New Roman" w:hAnsi="Times New Roman" w:cs="Times New Roman"/>
          <w:sz w:val="24"/>
          <w:szCs w:val="24"/>
        </w:rPr>
        <w:t xml:space="preserve"> La implementación de la red 5G en Colombia enfrentará desafíos como la necesidad de infraestructura adecuada y la capacitación de personal especializado, pero también ofrecerá oportunidades de desarrollo y crecimiento.</w:t>
      </w:r>
    </w:p>
    <w:p w14:paraId="60F277D2" w14:textId="6D2D31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Arquetipo de Escalada:</w:t>
      </w:r>
      <w:r w:rsidRPr="00791FEE">
        <w:rPr>
          <w:rFonts w:ascii="Times New Roman" w:hAnsi="Times New Roman" w:cs="Times New Roman"/>
          <w:sz w:val="24"/>
          <w:szCs w:val="24"/>
        </w:rPr>
        <w:t xml:space="preserve"> El análisis muestra cómo la interacción dinámica entre los actores puede llevar a un ciclo de incremento en la inversión y el esfuerzo, lo que debe gestionarse cuidadosamente para asegurar que sea sostenible y beneficioso para todos.</w:t>
      </w:r>
    </w:p>
    <w:p w14:paraId="7394645F" w14:textId="5AD4205B" w:rsidR="00A45DD3" w:rsidRDefault="00A45DD3" w:rsidP="00A45DD3">
      <w:pPr>
        <w:rPr>
          <w:rFonts w:ascii="Times New Roman" w:hAnsi="Times New Roman" w:cs="Times New Roman"/>
          <w:sz w:val="24"/>
          <w:szCs w:val="24"/>
        </w:rPr>
      </w:pPr>
    </w:p>
    <w:p w14:paraId="1CFCB9AA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55A2B015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3082AB10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7086F21D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611880F6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6EB9E0FB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58B3191B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473511BA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7BCB8215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67379AA4" w14:textId="48A3E99E" w:rsidR="00A45DD3" w:rsidRDefault="00A45DD3" w:rsidP="00A45DD3">
      <w:pPr>
        <w:pStyle w:val="Ttulo1"/>
      </w:pPr>
      <w:bookmarkStart w:id="17" w:name="_Toc160564646"/>
      <w:r>
        <w:t>Referencias</w:t>
      </w:r>
      <w:bookmarkEnd w:id="17"/>
    </w:p>
    <w:p w14:paraId="6FF10065" w14:textId="58237D0E" w:rsidR="00857EF1" w:rsidRDefault="00857EF1" w:rsidP="00857EF1">
      <w:pPr>
        <w:rPr>
          <w:rFonts w:ascii="Times New Roman" w:hAnsi="Times New Roman" w:cs="Times New Roman"/>
          <w:sz w:val="24"/>
          <w:szCs w:val="24"/>
        </w:rPr>
      </w:pPr>
      <w:r w:rsidRPr="00857EF1">
        <w:rPr>
          <w:rFonts w:ascii="Times New Roman" w:hAnsi="Times New Roman" w:cs="Times New Roman"/>
          <w:sz w:val="24"/>
          <w:szCs w:val="24"/>
        </w:rPr>
        <w:t xml:space="preserve">El Tiempo. (2024, </w:t>
      </w:r>
      <w:r w:rsidR="002F2989" w:rsidRPr="00857EF1">
        <w:rPr>
          <w:rFonts w:ascii="Times New Roman" w:hAnsi="Times New Roman" w:cs="Times New Roman"/>
          <w:sz w:val="24"/>
          <w:szCs w:val="24"/>
        </w:rPr>
        <w:t>febrero</w:t>
      </w:r>
      <w:r w:rsidRPr="00857EF1">
        <w:rPr>
          <w:rFonts w:ascii="Times New Roman" w:hAnsi="Times New Roman" w:cs="Times New Roman"/>
          <w:sz w:val="24"/>
          <w:szCs w:val="24"/>
        </w:rPr>
        <w:t xml:space="preserve"> 21). Claro y Tigo prendieron red 5G: así la puede usar en su móvil para internet más rápido. El Tiempo. </w:t>
      </w:r>
      <w:hyperlink r:id="rId10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https://www.eltiempo.com/tecnosfera/novedades-tecnologia/claro-y-tigo-prendieron-red-5g-asi-la-puede-usar-en-su-movil-para-internet-mas-rapido-858001</w:t>
        </w:r>
      </w:hyperlink>
    </w:p>
    <w:p w14:paraId="5C662D58" w14:textId="3172E1F5" w:rsidR="00A646E3" w:rsidRDefault="00A646E3" w:rsidP="00857EF1">
      <w:pPr>
        <w:rPr>
          <w:rFonts w:ascii="Times New Roman" w:hAnsi="Times New Roman" w:cs="Times New Roman"/>
          <w:sz w:val="24"/>
          <w:szCs w:val="24"/>
        </w:rPr>
      </w:pPr>
      <w:r w:rsidRPr="00A646E3">
        <w:rPr>
          <w:rFonts w:ascii="Times New Roman" w:hAnsi="Times New Roman" w:cs="Times New Roman"/>
          <w:sz w:val="24"/>
          <w:szCs w:val="24"/>
        </w:rPr>
        <w:t xml:space="preserve">Portafolio. (2024, </w:t>
      </w:r>
      <w:r w:rsidR="002F2989" w:rsidRPr="00A646E3">
        <w:rPr>
          <w:rFonts w:ascii="Times New Roman" w:hAnsi="Times New Roman" w:cs="Times New Roman"/>
          <w:sz w:val="24"/>
          <w:szCs w:val="24"/>
        </w:rPr>
        <w:t>febrero</w:t>
      </w:r>
      <w:r w:rsidRPr="00A646E3">
        <w:rPr>
          <w:rFonts w:ascii="Times New Roman" w:hAnsi="Times New Roman" w:cs="Times New Roman"/>
          <w:sz w:val="24"/>
          <w:szCs w:val="24"/>
        </w:rPr>
        <w:t xml:space="preserve"> 23). Arranca oficialmente el despliegue de las redes 5G en Colombia. Portafolio.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hyperlink r:id="rId11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https://www.portafolio.co/tecnologia/arranca-oficialmente-el-despliegue-de-las-redes-5g-en-colombia-599054</w:t>
        </w:r>
      </w:hyperlink>
    </w:p>
    <w:p w14:paraId="0A183387" w14:textId="21E73538" w:rsidR="0002219C" w:rsidRDefault="00A646E3" w:rsidP="00857EF1">
      <w:pPr>
        <w:rPr>
          <w:rFonts w:ascii="Times New Roman" w:hAnsi="Times New Roman" w:cs="Times New Roman"/>
          <w:sz w:val="24"/>
          <w:szCs w:val="24"/>
        </w:rPr>
      </w:pPr>
      <w:r w:rsidRPr="00A646E3">
        <w:rPr>
          <w:rFonts w:ascii="Times New Roman" w:hAnsi="Times New Roman" w:cs="Times New Roman"/>
          <w:sz w:val="24"/>
          <w:szCs w:val="24"/>
        </w:rPr>
        <w:t xml:space="preserve">Forbes. (2024, </w:t>
      </w:r>
      <w:r w:rsidR="002F2989" w:rsidRPr="00A646E3">
        <w:rPr>
          <w:rFonts w:ascii="Times New Roman" w:hAnsi="Times New Roman" w:cs="Times New Roman"/>
          <w:sz w:val="24"/>
          <w:szCs w:val="24"/>
        </w:rPr>
        <w:t>febrero</w:t>
      </w:r>
      <w:r w:rsidRPr="00A646E3">
        <w:rPr>
          <w:rFonts w:ascii="Times New Roman" w:hAnsi="Times New Roman" w:cs="Times New Roman"/>
          <w:sz w:val="24"/>
          <w:szCs w:val="24"/>
        </w:rPr>
        <w:t xml:space="preserve"> 23). Llegó 5G a Colombia: Claro, Tigo y Movistar los primeros operadores móviles en encender sus redes. Forbes.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hyperlink r:id="rId12" w:history="1">
        <w:r w:rsidRPr="00A646E3">
          <w:rPr>
            <w:rStyle w:val="Hipervnculo"/>
            <w:rFonts w:ascii="Times New Roman" w:hAnsi="Times New Roman" w:cs="Times New Roman"/>
            <w:sz w:val="24"/>
            <w:szCs w:val="24"/>
          </w:rPr>
          <w:t>Llegó 5G a Colombia: Claro, Tigo y Movistar los primeros operadores móviles en encender sus redes - Forbes Colombia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14:paraId="3255E8F2" w14:textId="7A643795" w:rsidR="00857EF1" w:rsidRDefault="0002219C" w:rsidP="00857EF1">
      <w:pPr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>La República. (</w:t>
      </w:r>
      <w:r>
        <w:rPr>
          <w:rFonts w:ascii="Times New Roman" w:hAnsi="Times New Roman" w:cs="Times New Roman"/>
          <w:sz w:val="24"/>
          <w:szCs w:val="24"/>
        </w:rPr>
        <w:t xml:space="preserve">2023, </w:t>
      </w:r>
      <w:r w:rsidR="002F2989">
        <w:rPr>
          <w:rFonts w:ascii="Times New Roman" w:hAnsi="Times New Roman" w:cs="Times New Roman"/>
          <w:sz w:val="24"/>
          <w:szCs w:val="24"/>
        </w:rPr>
        <w:t>diciembre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02219C">
        <w:rPr>
          <w:rFonts w:ascii="Times New Roman" w:hAnsi="Times New Roman" w:cs="Times New Roman"/>
          <w:sz w:val="24"/>
          <w:szCs w:val="24"/>
        </w:rPr>
        <w:t>). Minuto a minuto de la subasta de redes 5G en Colombia. La República.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02219C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https://www.larepublica.co/empresas/minuto-a-minuto-de-la-subasta-de-redes-5g-en-colombia-3770532</w:t>
        </w:r>
      </w:hyperlink>
    </w:p>
    <w:p w14:paraId="2F3AD633" w14:textId="54BE4198" w:rsidR="0002219C" w:rsidRDefault="0002219C" w:rsidP="00857EF1">
      <w:pPr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>Enter.co. (</w:t>
      </w:r>
      <w:r>
        <w:rPr>
          <w:rFonts w:ascii="Times New Roman" w:hAnsi="Times New Roman" w:cs="Times New Roman"/>
          <w:sz w:val="24"/>
          <w:szCs w:val="24"/>
        </w:rPr>
        <w:t xml:space="preserve">2023, </w:t>
      </w:r>
      <w:r w:rsidR="002F2989">
        <w:rPr>
          <w:rFonts w:ascii="Times New Roman" w:hAnsi="Times New Roman" w:cs="Times New Roman"/>
          <w:sz w:val="24"/>
          <w:szCs w:val="24"/>
        </w:rPr>
        <w:t>octubre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02219C">
        <w:rPr>
          <w:rFonts w:ascii="Times New Roman" w:hAnsi="Times New Roman" w:cs="Times New Roman"/>
          <w:sz w:val="24"/>
          <w:szCs w:val="24"/>
        </w:rPr>
        <w:t>). Gobierno anuncia para la subasta 5G una nueva banda para zonas rurales.Enter.co.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02219C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https://www.enter.co/colombia/gobierno-anuncia-para-la-subasta-5g-una-nueva-banda-para-zonas-rurales/</w:t>
        </w:r>
      </w:hyperlink>
    </w:p>
    <w:p w14:paraId="5B84FA46" w14:textId="77777777" w:rsidR="0002219C" w:rsidRPr="00857EF1" w:rsidRDefault="0002219C" w:rsidP="00857EF1">
      <w:pPr>
        <w:rPr>
          <w:rFonts w:ascii="Times New Roman" w:hAnsi="Times New Roman" w:cs="Times New Roman"/>
          <w:sz w:val="24"/>
          <w:szCs w:val="24"/>
        </w:rPr>
      </w:pPr>
    </w:p>
    <w:sectPr w:rsidR="0002219C" w:rsidRPr="00857EF1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6ABB0" w14:textId="77777777" w:rsidR="00113F00" w:rsidRDefault="00113F00" w:rsidP="00A45DD3">
      <w:pPr>
        <w:spacing w:after="0" w:line="240" w:lineRule="auto"/>
      </w:pPr>
      <w:r>
        <w:separator/>
      </w:r>
    </w:p>
  </w:endnote>
  <w:endnote w:type="continuationSeparator" w:id="0">
    <w:p w14:paraId="44AB23EA" w14:textId="77777777" w:rsidR="00113F00" w:rsidRDefault="00113F00" w:rsidP="00A4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F69A0" w14:textId="77777777" w:rsidR="00A45DD3" w:rsidRDefault="00A45DD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EF1921E" w14:textId="77777777" w:rsidR="00A45DD3" w:rsidRDefault="00A45D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05C16" w14:textId="77777777" w:rsidR="00113F00" w:rsidRDefault="00113F00" w:rsidP="00A45DD3">
      <w:pPr>
        <w:spacing w:after="0" w:line="240" w:lineRule="auto"/>
      </w:pPr>
      <w:r>
        <w:separator/>
      </w:r>
    </w:p>
  </w:footnote>
  <w:footnote w:type="continuationSeparator" w:id="0">
    <w:p w14:paraId="27B4C959" w14:textId="77777777" w:rsidR="00113F00" w:rsidRDefault="00113F00" w:rsidP="00A45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668E"/>
    <w:multiLevelType w:val="hybridMultilevel"/>
    <w:tmpl w:val="4DE82C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B7C99"/>
    <w:multiLevelType w:val="hybridMultilevel"/>
    <w:tmpl w:val="9F0C31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559F7"/>
    <w:multiLevelType w:val="hybridMultilevel"/>
    <w:tmpl w:val="465A36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A5145"/>
    <w:multiLevelType w:val="hybridMultilevel"/>
    <w:tmpl w:val="1DB2A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4CC1263"/>
    <w:multiLevelType w:val="hybridMultilevel"/>
    <w:tmpl w:val="07FE0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951750">
    <w:abstractNumId w:val="0"/>
  </w:num>
  <w:num w:numId="2" w16cid:durableId="1684624321">
    <w:abstractNumId w:val="6"/>
  </w:num>
  <w:num w:numId="3" w16cid:durableId="1284311495">
    <w:abstractNumId w:val="7"/>
  </w:num>
  <w:num w:numId="4" w16cid:durableId="2116359298">
    <w:abstractNumId w:val="5"/>
  </w:num>
  <w:num w:numId="5" w16cid:durableId="229927694">
    <w:abstractNumId w:val="2"/>
  </w:num>
  <w:num w:numId="6" w16cid:durableId="1882788429">
    <w:abstractNumId w:val="3"/>
  </w:num>
  <w:num w:numId="7" w16cid:durableId="395131496">
    <w:abstractNumId w:val="4"/>
  </w:num>
  <w:num w:numId="8" w16cid:durableId="632293542">
    <w:abstractNumId w:val="8"/>
  </w:num>
  <w:num w:numId="9" w16cid:durableId="362633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959"/>
    <w:rsid w:val="0002219C"/>
    <w:rsid w:val="0003034E"/>
    <w:rsid w:val="00044347"/>
    <w:rsid w:val="00056304"/>
    <w:rsid w:val="00061860"/>
    <w:rsid w:val="0007582B"/>
    <w:rsid w:val="00077233"/>
    <w:rsid w:val="000A5E3E"/>
    <w:rsid w:val="000B0C87"/>
    <w:rsid w:val="000B2355"/>
    <w:rsid w:val="000B61CE"/>
    <w:rsid w:val="000E29A0"/>
    <w:rsid w:val="000F01AB"/>
    <w:rsid w:val="00113F00"/>
    <w:rsid w:val="00117B7B"/>
    <w:rsid w:val="001823A1"/>
    <w:rsid w:val="001A2A8F"/>
    <w:rsid w:val="001C11B1"/>
    <w:rsid w:val="001D751E"/>
    <w:rsid w:val="001D7FDD"/>
    <w:rsid w:val="001E292F"/>
    <w:rsid w:val="001E7C2F"/>
    <w:rsid w:val="0021329A"/>
    <w:rsid w:val="00221AC0"/>
    <w:rsid w:val="00224EA7"/>
    <w:rsid w:val="00260F21"/>
    <w:rsid w:val="00262F6E"/>
    <w:rsid w:val="00272EB3"/>
    <w:rsid w:val="002828B7"/>
    <w:rsid w:val="00284C67"/>
    <w:rsid w:val="00296380"/>
    <w:rsid w:val="002A23AA"/>
    <w:rsid w:val="002A78E5"/>
    <w:rsid w:val="002B2E0F"/>
    <w:rsid w:val="002C4726"/>
    <w:rsid w:val="002E717D"/>
    <w:rsid w:val="002F186A"/>
    <w:rsid w:val="002F2989"/>
    <w:rsid w:val="00303138"/>
    <w:rsid w:val="00303FC0"/>
    <w:rsid w:val="0030622E"/>
    <w:rsid w:val="00313BDA"/>
    <w:rsid w:val="00341002"/>
    <w:rsid w:val="003525DF"/>
    <w:rsid w:val="00352F47"/>
    <w:rsid w:val="00357ED8"/>
    <w:rsid w:val="0036186F"/>
    <w:rsid w:val="0036727E"/>
    <w:rsid w:val="003777D7"/>
    <w:rsid w:val="0038585A"/>
    <w:rsid w:val="0039554F"/>
    <w:rsid w:val="00396A69"/>
    <w:rsid w:val="00397885"/>
    <w:rsid w:val="003A77B8"/>
    <w:rsid w:val="003C12B5"/>
    <w:rsid w:val="003C4453"/>
    <w:rsid w:val="003C78D9"/>
    <w:rsid w:val="003D0AD9"/>
    <w:rsid w:val="003D6BEB"/>
    <w:rsid w:val="003E6203"/>
    <w:rsid w:val="003E6F5A"/>
    <w:rsid w:val="003E7F72"/>
    <w:rsid w:val="004116FF"/>
    <w:rsid w:val="004241FA"/>
    <w:rsid w:val="00444AE1"/>
    <w:rsid w:val="004634C9"/>
    <w:rsid w:val="004640A2"/>
    <w:rsid w:val="00470A30"/>
    <w:rsid w:val="00483F28"/>
    <w:rsid w:val="004909B6"/>
    <w:rsid w:val="004D1136"/>
    <w:rsid w:val="0050111D"/>
    <w:rsid w:val="00562D78"/>
    <w:rsid w:val="00564A3A"/>
    <w:rsid w:val="00571FFB"/>
    <w:rsid w:val="005800FA"/>
    <w:rsid w:val="00581EBD"/>
    <w:rsid w:val="00590239"/>
    <w:rsid w:val="0059743B"/>
    <w:rsid w:val="005B210D"/>
    <w:rsid w:val="005C285A"/>
    <w:rsid w:val="005C2B93"/>
    <w:rsid w:val="005D0E6B"/>
    <w:rsid w:val="005E44DE"/>
    <w:rsid w:val="005F34F0"/>
    <w:rsid w:val="005F7725"/>
    <w:rsid w:val="00647207"/>
    <w:rsid w:val="00684CE0"/>
    <w:rsid w:val="00685F02"/>
    <w:rsid w:val="006C700E"/>
    <w:rsid w:val="006E0D3E"/>
    <w:rsid w:val="006E7732"/>
    <w:rsid w:val="0071464E"/>
    <w:rsid w:val="007266D8"/>
    <w:rsid w:val="007714CD"/>
    <w:rsid w:val="007752C4"/>
    <w:rsid w:val="00791FEE"/>
    <w:rsid w:val="007957AA"/>
    <w:rsid w:val="007A5B89"/>
    <w:rsid w:val="007C08F9"/>
    <w:rsid w:val="007C7932"/>
    <w:rsid w:val="00801234"/>
    <w:rsid w:val="008042A6"/>
    <w:rsid w:val="00805D3F"/>
    <w:rsid w:val="008222B7"/>
    <w:rsid w:val="00830224"/>
    <w:rsid w:val="00842564"/>
    <w:rsid w:val="0085133C"/>
    <w:rsid w:val="00851959"/>
    <w:rsid w:val="00857EF1"/>
    <w:rsid w:val="00861EA6"/>
    <w:rsid w:val="00877811"/>
    <w:rsid w:val="00882898"/>
    <w:rsid w:val="008B7562"/>
    <w:rsid w:val="008E07F9"/>
    <w:rsid w:val="008F6BB1"/>
    <w:rsid w:val="008F758B"/>
    <w:rsid w:val="009053CE"/>
    <w:rsid w:val="00950754"/>
    <w:rsid w:val="00954C07"/>
    <w:rsid w:val="00967E85"/>
    <w:rsid w:val="0097272F"/>
    <w:rsid w:val="00983B75"/>
    <w:rsid w:val="00984E5D"/>
    <w:rsid w:val="00985AB8"/>
    <w:rsid w:val="009B2E8D"/>
    <w:rsid w:val="009C0BF3"/>
    <w:rsid w:val="009C12EC"/>
    <w:rsid w:val="009C698C"/>
    <w:rsid w:val="009D37E0"/>
    <w:rsid w:val="009F0158"/>
    <w:rsid w:val="009F4AF6"/>
    <w:rsid w:val="00A05D8B"/>
    <w:rsid w:val="00A10866"/>
    <w:rsid w:val="00A1784E"/>
    <w:rsid w:val="00A45DD3"/>
    <w:rsid w:val="00A53828"/>
    <w:rsid w:val="00A646E3"/>
    <w:rsid w:val="00A84932"/>
    <w:rsid w:val="00A8584F"/>
    <w:rsid w:val="00AB3F92"/>
    <w:rsid w:val="00AC72A8"/>
    <w:rsid w:val="00AF1757"/>
    <w:rsid w:val="00AF36EF"/>
    <w:rsid w:val="00AF48BA"/>
    <w:rsid w:val="00B00ED7"/>
    <w:rsid w:val="00B1044B"/>
    <w:rsid w:val="00B22B69"/>
    <w:rsid w:val="00B46836"/>
    <w:rsid w:val="00B51E2E"/>
    <w:rsid w:val="00B62B8B"/>
    <w:rsid w:val="00BB1D43"/>
    <w:rsid w:val="00BB53DD"/>
    <w:rsid w:val="00BC743A"/>
    <w:rsid w:val="00BE6C94"/>
    <w:rsid w:val="00BF51CE"/>
    <w:rsid w:val="00C123E1"/>
    <w:rsid w:val="00C14988"/>
    <w:rsid w:val="00C21E28"/>
    <w:rsid w:val="00C56FAC"/>
    <w:rsid w:val="00CC2D70"/>
    <w:rsid w:val="00CC3973"/>
    <w:rsid w:val="00CE62DC"/>
    <w:rsid w:val="00CE7B65"/>
    <w:rsid w:val="00D17936"/>
    <w:rsid w:val="00D17FE7"/>
    <w:rsid w:val="00D27454"/>
    <w:rsid w:val="00D35F2B"/>
    <w:rsid w:val="00D370D0"/>
    <w:rsid w:val="00D564FD"/>
    <w:rsid w:val="00D7046C"/>
    <w:rsid w:val="00DA4102"/>
    <w:rsid w:val="00DB2270"/>
    <w:rsid w:val="00DB38D0"/>
    <w:rsid w:val="00DC62F1"/>
    <w:rsid w:val="00DF4EF2"/>
    <w:rsid w:val="00DF6101"/>
    <w:rsid w:val="00E054FE"/>
    <w:rsid w:val="00E071AB"/>
    <w:rsid w:val="00E32182"/>
    <w:rsid w:val="00E72D01"/>
    <w:rsid w:val="00E76E28"/>
    <w:rsid w:val="00E91EB3"/>
    <w:rsid w:val="00EC2B13"/>
    <w:rsid w:val="00EC3DD4"/>
    <w:rsid w:val="00EC7BC7"/>
    <w:rsid w:val="00EE308C"/>
    <w:rsid w:val="00EE5EB2"/>
    <w:rsid w:val="00EF660D"/>
    <w:rsid w:val="00F07207"/>
    <w:rsid w:val="00F1148B"/>
    <w:rsid w:val="00F2692C"/>
    <w:rsid w:val="00F316FA"/>
    <w:rsid w:val="00F33AB4"/>
    <w:rsid w:val="00F4627E"/>
    <w:rsid w:val="00F50FF7"/>
    <w:rsid w:val="00F60396"/>
    <w:rsid w:val="00F82DC0"/>
    <w:rsid w:val="00F97EBD"/>
    <w:rsid w:val="00FC4B00"/>
    <w:rsid w:val="00FE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docId w15:val="{0EDED05A-C1E1-45F5-BB8F-D8154FA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28"/>
  </w:style>
  <w:style w:type="paragraph" w:styleId="Ttulo1">
    <w:name w:val="heading 1"/>
    <w:basedOn w:val="Normal"/>
    <w:next w:val="Normal"/>
    <w:link w:val="Ttulo1Car"/>
    <w:uiPriority w:val="9"/>
    <w:qFormat/>
    <w:rsid w:val="00CE62DC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2DC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E62DC"/>
    <w:rPr>
      <w:rFonts w:ascii="Times New Roman" w:eastAsiaTheme="majorEastAsia" w:hAnsi="Times New Roman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  <w:style w:type="character" w:customStyle="1" w:styleId="mop">
    <w:name w:val="mop"/>
    <w:basedOn w:val="Fuentedeprrafopredeter"/>
    <w:rsid w:val="001823A1"/>
  </w:style>
  <w:style w:type="character" w:customStyle="1" w:styleId="vlist-s">
    <w:name w:val="vlist-s"/>
    <w:basedOn w:val="Fuentedeprrafopredeter"/>
    <w:rsid w:val="001823A1"/>
  </w:style>
  <w:style w:type="character" w:customStyle="1" w:styleId="delimsizing">
    <w:name w:val="delimsizing"/>
    <w:basedOn w:val="Fuentedeprrafopredeter"/>
    <w:rsid w:val="002F186A"/>
  </w:style>
  <w:style w:type="paragraph" w:styleId="NormalWeb">
    <w:name w:val="Normal (Web)"/>
    <w:basedOn w:val="Normal"/>
    <w:uiPriority w:val="99"/>
    <w:semiHidden/>
    <w:unhideWhenUsed/>
    <w:rsid w:val="0088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katex-block">
    <w:name w:val="katex-block"/>
    <w:basedOn w:val="Normal"/>
    <w:rsid w:val="0088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E62DC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62D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E62DC"/>
    <w:pPr>
      <w:spacing w:after="100" w:line="480" w:lineRule="auto"/>
    </w:pPr>
    <w:rPr>
      <w:rFonts w:ascii="Times New Roman" w:hAnsi="Times New Roman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CE62DC"/>
    <w:pPr>
      <w:spacing w:after="0" w:line="480" w:lineRule="auto"/>
      <w:ind w:left="7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E62DC"/>
    <w:pPr>
      <w:spacing w:after="0" w:line="480" w:lineRule="auto"/>
      <w:ind w:left="1440"/>
    </w:pPr>
    <w:rPr>
      <w:rFonts w:ascii="Times New Roman" w:hAnsi="Times New Roman"/>
      <w:sz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E62DC"/>
    <w:pPr>
      <w:spacing w:after="100" w:line="480" w:lineRule="auto"/>
      <w:ind w:left="660"/>
    </w:pPr>
    <w:rPr>
      <w:rFonts w:ascii="Times New Roman" w:hAnsi="Times New Roman"/>
      <w:sz w:val="24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E62DC"/>
    <w:pPr>
      <w:spacing w:after="100"/>
      <w:ind w:left="880"/>
    </w:pPr>
  </w:style>
  <w:style w:type="paragraph" w:styleId="Encabezado">
    <w:name w:val="header"/>
    <w:basedOn w:val="Normal"/>
    <w:link w:val="EncabezadoCar"/>
    <w:uiPriority w:val="99"/>
    <w:unhideWhenUsed/>
    <w:rsid w:val="00A45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DD3"/>
  </w:style>
  <w:style w:type="paragraph" w:styleId="Piedepgina">
    <w:name w:val="footer"/>
    <w:basedOn w:val="Normal"/>
    <w:link w:val="PiedepginaCar"/>
    <w:uiPriority w:val="99"/>
    <w:unhideWhenUsed/>
    <w:rsid w:val="00A45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DD3"/>
  </w:style>
  <w:style w:type="character" w:styleId="Hipervnculovisitado">
    <w:name w:val="FollowedHyperlink"/>
    <w:basedOn w:val="Fuentedeprrafopredeter"/>
    <w:uiPriority w:val="99"/>
    <w:semiHidden/>
    <w:unhideWhenUsed/>
    <w:rsid w:val="002A23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arepublica.co/empresas/minuto-a-minuto-de-la-subasta-de-redes-5g-en-colombia-37705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rbes.co/2024/02/23/tecnologia/llego-5g-a-colombia-claro-tigo-y-movistar-los-primeros-operadores-moviles-en-encender-sus-red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rtafolio.co/tecnologia/arranca-oficialmente-el-despliegue-de-las-redes-5g-en-colombia-59905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eltiempo.com/tecnosfera/novedades-tecnologia/claro-y-tigo-prendieron-red-5g-asi-la-puede-usar-en-su-movil-para-internet-mas-rapido-8580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nter.co/colombia/gobierno-anuncia-para-la-subasta-5g-una-nueva-banda-para-zonas-rura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D7FD9-7C1C-4249-9981-0A66497AA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8</Pages>
  <Words>1842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162</cp:revision>
  <dcterms:created xsi:type="dcterms:W3CDTF">2024-02-01T00:42:00Z</dcterms:created>
  <dcterms:modified xsi:type="dcterms:W3CDTF">2024-03-06T01:57:00Z</dcterms:modified>
</cp:coreProperties>
</file>