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einer Semaphore)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damit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 w14:paraId="1FF0249C" w14:textId="3772717F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>stücken (bzw. die Bierdeckeln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proofErr w:type="spellStart"/>
      <w:r>
        <w:rPr>
          <w:color w:val="0070C0"/>
        </w:rPr>
        <w:t>erzieleen</w:t>
      </w:r>
      <w:proofErr w:type="spellEnd"/>
      <w:r>
        <w:rPr>
          <w:color w:val="0070C0"/>
        </w:rPr>
        <w:t xml:space="preserve"> kannst!</w:t>
      </w:r>
    </w:p>
    <w:p w14:paraId="373B4A7B" w14:textId="77777777" w:rsidR="00EA584B" w:rsidRPr="00EF72EE" w:rsidRDefault="00EA584B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E5AAD"/>
    <w:rsid w:val="00594932"/>
    <w:rsid w:val="008411FE"/>
    <w:rsid w:val="00923913"/>
    <w:rsid w:val="00D601DB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584B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Netzberger Christian</cp:lastModifiedBy>
  <cp:revision>3</cp:revision>
  <dcterms:created xsi:type="dcterms:W3CDTF">2026-02-24T16:12:00Z</dcterms:created>
  <dcterms:modified xsi:type="dcterms:W3CDTF">2026-02-24T17:09:00Z</dcterms:modified>
</cp:coreProperties>
</file>