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  <w:b/>
          <w:i w:val="0"/>
          <w:color w:val="0B2545"/>
          <w:sz w:val="46"/>
        </w:rPr>
        <w:t>INFORME TÉCNICO MLOPS</w:t>
      </w:r>
    </w:p>
    <w:p>
      <w:pPr>
        <w:pStyle w:val="Subtitle"/>
      </w:pPr>
      <w:r>
        <w:rPr>
          <w:rFonts w:ascii="Calibri" w:hAnsi="Calibri"/>
          <w:b w:val="0"/>
          <w:i w:val="0"/>
          <w:color w:val="5B6573"/>
          <w:sz w:val="27"/>
        </w:rPr>
        <w:t>Servicio end-to-end de predicción de fuga de clientes</w:t>
      </w:r>
    </w:p>
    <w:p>
      <w:pPr>
        <w:spacing w:after="40"/>
      </w:pPr>
      <w:r>
        <w:rPr>
          <w:rFonts w:ascii="Calibri" w:hAnsi="Calibri"/>
          <w:b/>
          <w:i w:val="0"/>
          <w:color w:val="0B2545"/>
          <w:sz w:val="22"/>
        </w:rPr>
        <w:t xml:space="preserve">Asignatura: </w:t>
      </w:r>
      <w:r>
        <w:rPr>
          <w:rFonts w:ascii="Calibri" w:hAnsi="Calibri"/>
          <w:b w:val="0"/>
          <w:i w:val="0"/>
          <w:color w:val="000000"/>
          <w:sz w:val="22"/>
        </w:rPr>
        <w:t>MLOps · UAI</w:t>
      </w:r>
    </w:p>
    <w:p>
      <w:pPr>
        <w:spacing w:after="40"/>
      </w:pPr>
      <w:r>
        <w:rPr>
          <w:rFonts w:ascii="Calibri" w:hAnsi="Calibri"/>
          <w:b/>
          <w:i w:val="0"/>
          <w:color w:val="0B2545"/>
          <w:sz w:val="22"/>
        </w:rPr>
        <w:t xml:space="preserve">Repositorio: </w:t>
      </w:r>
      <w:r>
        <w:rPr>
          <w:rFonts w:ascii="Calibri" w:hAnsi="Calibri"/>
          <w:b w:val="0"/>
          <w:i w:val="0"/>
          <w:color w:val="000000"/>
          <w:sz w:val="22"/>
        </w:rPr>
        <w:t>github.com/LeoSaraviaS/churn-mlops</w:t>
      </w:r>
    </w:p>
    <w:p>
      <w:pPr>
        <w:spacing w:after="40"/>
      </w:pPr>
      <w:r>
        <w:rPr>
          <w:rFonts w:ascii="Calibri" w:hAnsi="Calibri"/>
          <w:b/>
          <w:i w:val="0"/>
          <w:color w:val="0B2545"/>
          <w:sz w:val="22"/>
        </w:rPr>
        <w:t xml:space="preserve">Modelo: </w:t>
      </w:r>
      <w:r>
        <w:rPr>
          <w:rFonts w:ascii="Calibri" w:hAnsi="Calibri"/>
          <w:b w:val="0"/>
          <w:i w:val="0"/>
          <w:color w:val="000000"/>
          <w:sz w:val="22"/>
        </w:rPr>
        <w:t>Regresión logística</w:t>
      </w:r>
    </w:p>
    <w:p>
      <w:pPr>
        <w:spacing w:after="40"/>
      </w:pPr>
      <w:r>
        <w:rPr>
          <w:rFonts w:ascii="Calibri" w:hAnsi="Calibri"/>
          <w:b/>
          <w:i w:val="0"/>
          <w:color w:val="0B2545"/>
          <w:sz w:val="22"/>
        </w:rPr>
        <w:t xml:space="preserve">Estado: </w:t>
      </w:r>
      <w:r>
        <w:rPr>
          <w:rFonts w:ascii="Calibri" w:hAnsi="Calibri"/>
          <w:b w:val="0"/>
          <w:i w:val="0"/>
          <w:color w:val="000000"/>
          <w:sz w:val="22"/>
        </w:rPr>
        <w:t>Borrador técnico v0.1 · 15 de agosto de 2026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22"/>
              </w:rPr>
              <w:t xml:space="preserve">Resumen ejecutivo: </w:t>
            </w:r>
            <w:r>
              <w:rPr>
                <w:rFonts w:ascii="Calibri" w:hAnsi="Calibri"/>
                <w:b w:val="0"/>
                <w:i w:val="0"/>
                <w:color w:val="0B2545"/>
                <w:sz w:val="22"/>
              </w:rPr>
              <w:t>El proyecto construye un servicio reproducible para estimar la probabilidad de que un cliente bancario abandone la entidad. La solución integra entrenamiento, evaluación, serialización, API REST, pruebas, contenedor Docker y automatización CI/CD.</w:t>
            </w:r>
          </w:p>
        </w:tc>
      </w:tr>
    </w:tbl>
    <w:p>
      <w:pPr>
        <w:spacing w:after="0"/>
      </w:pPr>
    </w:p>
    <w:p>
      <w:pPr>
        <w:pStyle w:val="Heading1"/>
      </w:pPr>
      <w:r>
        <w:t>1. Problema y objetivo</w:t>
      </w:r>
    </w:p>
    <w:p>
      <w:r>
        <w:rPr>
          <w:rFonts w:ascii="Calibri" w:hAnsi="Calibri"/>
          <w:b w:val="0"/>
          <w:i w:val="0"/>
          <w:color w:val="000000"/>
          <w:sz w:val="22"/>
        </w:rPr>
        <w:t>El objetivo es predecir la variable Exited, donde 1 representa fuga y 0 permanencia. La predicción entrega una clase, una probabilidad y un nivel de riesgo, con el fin de priorizar acciones de retención. El problema es de clasificación binaria y se evalúa sobre observaciones no utilizadas durante el entrenamiento.</w:t>
      </w:r>
    </w:p>
    <w:p>
      <w:pPr>
        <w:pStyle w:val="Heading2"/>
      </w:pPr>
      <w:r>
        <w:t>Datos y preparación</w:t>
      </w:r>
    </w:p>
    <w:p>
      <w:r>
        <w:rPr>
          <w:rFonts w:ascii="Calibri" w:hAnsi="Calibri"/>
          <w:b w:val="0"/>
          <w:i w:val="0"/>
          <w:color w:val="000000"/>
          <w:sz w:val="22"/>
        </w:rPr>
        <w:t>El dataset Churn_Modelling.csv contiene 10.000 registros y 14 columnas. No presenta valores faltantes ni filas duplicadas. La clase está desbalanceada: 7.963 clientes permanecen (79,63 %) y 2.037 abandonan (20,37 %). Por ello no se utiliza accuracy como única medida de desempeño.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0B2545"/>
                <w:sz w:val="22"/>
              </w:rPr>
              <w:t>Elemento</w:t>
            </w:r>
          </w:p>
        </w:tc>
        <w:tc>
          <w:tcPr>
            <w:tcW w:type="dxa" w:w="66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0B2545"/>
                <w:sz w:val="22"/>
              </w:rPr>
              <w:t>Decisión aplicada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Variable objetivo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Exited: 1 = fuga; 0 = permanencia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Identificadores excluidos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RowNumber, CustomerId y Surname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Separación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80 % entrenamiento y 20 % prueba; random_state=42; stratify=y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Fuente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Dataset y notebook públicos de Kaggle, citados en el README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2. Decisiones de diseño</w:t>
      </w:r>
    </w:p>
    <w:p>
      <w:r>
        <w:rPr>
          <w:rFonts w:ascii="Calibri" w:hAnsi="Calibri"/>
          <w:b w:val="0"/>
          <w:i w:val="0"/>
          <w:color w:val="000000"/>
          <w:sz w:val="22"/>
        </w:rPr>
        <w:t>La arquitectura separa entrenamiento e inferencia. El modelo se entrena fuera del servicio, se guarda como artefacto y FastAPI lo carga una sola vez al iniciar. Esta separación evita reentrenamientos durante una petición y permite reproducir la misma transformación en entrenamiento y producción.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900"/>
        <w:gridCol w:w="5560"/>
      </w:tblGrid>
      <w:tr>
        <w:trPr>
          <w:tblHeader w:val="true"/>
        </w:trPr>
        <w:tc>
          <w:tcPr>
            <w:tcW w:type="dxa" w:w="1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0B2545"/>
                <w:sz w:val="22"/>
              </w:rPr>
              <w:t>Etapa</w:t>
            </w:r>
          </w:p>
        </w:tc>
        <w:tc>
          <w:tcPr>
            <w:tcW w:type="dxa" w:w="1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0B2545"/>
                <w:sz w:val="22"/>
              </w:rPr>
              <w:t>Componente</w:t>
            </w:r>
          </w:p>
        </w:tc>
        <w:tc>
          <w:tcPr>
            <w:tcW w:type="dxa" w:w="5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0B2545"/>
                <w:sz w:val="22"/>
              </w:rPr>
              <w:t>Responsabilidad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Datos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data/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Dataset original versionado para entrenamiento reproducible.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Entrenamiento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training/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Validación, limpieza, split, pipeline, métricas y gate ROC-AUC.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Artefactos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models/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Pipeline serializado y metadata con versiones, fecha y resultados.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Servicio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app/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Contratos Pydantic, carga del modelo, predicción y métricas.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Operación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Docker + Actions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Entorno portable y automatización de controles de calidad.</w:t>
            </w:r>
          </w:p>
        </w:tc>
      </w:tr>
    </w:tbl>
    <w:p>
      <w:pPr>
        <w:spacing w:after="0"/>
      </w:pPr>
    </w:p>
    <w:p>
      <w:pPr>
        <w:pStyle w:val="Heading2"/>
      </w:pPr>
      <w:r>
        <w:t>Modelo y prevención de inconsistencias</w:t>
      </w:r>
    </w:p>
    <w:p>
      <w:r>
        <w:rPr>
          <w:rFonts w:ascii="Calibri" w:hAnsi="Calibri"/>
          <w:b w:val="0"/>
          <w:i w:val="0"/>
          <w:color w:val="000000"/>
          <w:sz w:val="22"/>
        </w:rPr>
        <w:t>Se utiliza LogisticRegression con class_weight="balanced", max_iter=1000 y semilla fija. El pipeline deriva AgeGroup, codifica Geography, Gender y AgeGroup con OneHotEncoder y estandariza las variables numéricas. Las transformaciones se ajustan solamente con el conjunto de entrenamiento y quedan integradas dentro de model.joblib, reduciendo el riesgo de fuga de información y de diferencias entre entrenamiento e inferencia.</w:t>
      </w:r>
    </w:p>
    <w:p>
      <w:pPr>
        <w:pStyle w:val="Heading2"/>
      </w:pPr>
      <w:r>
        <w:t>Resultados sobre datos no vistos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600"/>
        <w:gridCol w:w="5760"/>
      </w:tblGrid>
      <w:tr>
        <w:trPr>
          <w:tblHeader w:val="true"/>
        </w:trPr>
        <w:tc>
          <w:tcPr>
            <w:tcW w:type="dxa" w:w="36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0B2545"/>
                <w:sz w:val="22"/>
              </w:rPr>
              <w:t>Métrica</w:t>
            </w:r>
          </w:p>
        </w:tc>
        <w:tc>
          <w:tcPr>
            <w:tcW w:type="dxa" w:w="57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0B2545"/>
                <w:sz w:val="22"/>
              </w:rPr>
              <w:t>Resultado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Accuracy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0,7115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Precision — clase fuga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0,3861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Recall — clase fuga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0,7076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F1-score — clase fuga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0,4996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ROC-AUC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0,7770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Matriz de confusión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TN=1.135 · FP=458 · FN=119 · TP=288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i w:val="0"/>
          <w:color w:val="000000"/>
          <w:sz w:val="22"/>
        </w:rPr>
        <w:t>Interpretación: el modelo recupera aproximadamente el 71 % de los clientes que efectivamente abandonan, a costa de una precisión menor y un número relevante de falsos positivos. El ROC-AUC supera el gate mínimo de 0,75, pero el umbral operativo debe ajustarse según el costo de contactar clientes y el costo de perderlos.</w:t>
      </w:r>
    </w:p>
    <w:p>
      <w:r>
        <w:br w:type="page"/>
      </w:r>
    </w:p>
    <w:p>
      <w:pPr>
        <w:pStyle w:val="Heading1"/>
      </w:pPr>
      <w:r>
        <w:t>3. Implementación MLOps</w:t>
      </w:r>
    </w:p>
    <w:p>
      <w:r>
        <w:rPr>
          <w:rFonts w:ascii="Calibri" w:hAnsi="Calibri"/>
          <w:b w:val="0"/>
          <w:i w:val="0"/>
          <w:color w:val="000000"/>
          <w:sz w:val="22"/>
        </w:rPr>
        <w:t>El servicio usa FastAPI y contratos Pydantic con validación de categorías y rangos. El contenedor se basa en python:3.12-slim, instala dependencias fijadas, ejecuta con usuario no-root y contiene HEALTHCHECK. docker-compose.yml permite reproducir el servicio localmente.</w:t>
      </w:r>
    </w:p>
    <w:p>
      <w:pPr>
        <w:pStyle w:val="Heading2"/>
      </w:pPr>
      <w:r>
        <w:t>Estado de la API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700"/>
        <w:gridCol w:w="5460"/>
      </w:tblGrid>
      <w:tr>
        <w:trPr>
          <w:tblHeader w:val="true"/>
        </w:trPr>
        <w:tc>
          <w:tcPr>
            <w:tcW w:type="dxa" w:w="22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0B2545"/>
                <w:sz w:val="22"/>
              </w:rPr>
              <w:t>Endpoint</w:t>
            </w:r>
          </w:p>
        </w:tc>
        <w:tc>
          <w:tcPr>
            <w:tcW w:type="dxa" w:w="17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0B2545"/>
                <w:sz w:val="22"/>
              </w:rPr>
              <w:t>Estado</w:t>
            </w:r>
          </w:p>
        </w:tc>
        <w:tc>
          <w:tcPr>
            <w:tcW w:type="dxa" w:w="54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0B2545"/>
                <w:sz w:val="22"/>
              </w:rPr>
              <w:t>Observación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GET /health</w:t>
            </w:r>
          </w:p>
        </w:tc>
        <w:tc>
          <w:tcPr>
            <w:tcW w:type="dxa" w:w="1700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Implementado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Informa carga del modelo y versión.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POST /predict</w:t>
            </w:r>
          </w:p>
        </w:tc>
        <w:tc>
          <w:tcPr>
            <w:tcW w:type="dxa" w:w="1700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Implementado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Predicción individual con probabilidad y riesgo.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GET /metrics</w:t>
            </w:r>
          </w:p>
        </w:tc>
        <w:tc>
          <w:tcPr>
            <w:tcW w:type="dxa" w:w="1700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Implementado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Métricas Prometheus de requests y predicciones.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POST /predict/batch</w:t>
            </w:r>
          </w:p>
        </w:tc>
        <w:tc>
          <w:tcPr>
            <w:tcW w:type="dxa" w:w="1700"/>
            <w:shd w:fill="FFF4C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Pendiente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Requisito obligatorio; asignado a Jonathan.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GET /model/schema</w:t>
            </w:r>
          </w:p>
        </w:tc>
        <w:tc>
          <w:tcPr>
            <w:tcW w:type="dxa" w:w="1700"/>
            <w:shd w:fill="FFF4C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Pendiente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Requisito obligatorio; asignado a Hemersson.</w:t>
            </w:r>
          </w:p>
        </w:tc>
      </w:tr>
    </w:tbl>
    <w:p>
      <w:pPr>
        <w:spacing w:after="0"/>
      </w:pPr>
    </w:p>
    <w:p>
      <w:pPr>
        <w:pStyle w:val="Heading2"/>
      </w:pPr>
      <w:r>
        <w:t>Pruebas y CI/CD</w:t>
      </w:r>
    </w:p>
    <w:p>
      <w:r>
        <w:rPr>
          <w:rFonts w:ascii="Calibri" w:hAnsi="Calibri"/>
          <w:b w:val="0"/>
          <w:i w:val="0"/>
          <w:color w:val="000000"/>
          <w:sz w:val="22"/>
        </w:rPr>
        <w:t>El repositorio contiene 25 pruebas unitarias y de integración, además de Ruff. La ejecución observada en GitHub Actions completó lint, test y train-and-gate. Docker-build y deploy fueron omitidos por sus condiciones, por lo que el estado verde actual todavía no demuestra la construcción ni la prueba de humo del contenedor real.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4CE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22"/>
              </w:rPr>
              <w:t xml:space="preserve">Pendiente crítico: </w:t>
            </w:r>
            <w:r>
              <w:rPr>
                <w:rFonts w:ascii="Calibri" w:hAnsi="Calibri"/>
                <w:b w:val="0"/>
                <w:i w:val="0"/>
                <w:color w:val="0B2545"/>
                <w:sz w:val="22"/>
              </w:rPr>
              <w:t>Agregar un job obligatorio de build y smoke test para push y pull request, probando /health y /predict contra el contenedor levantado. Separar de ese job el despliegue opcional a Cloud Run.</w:t>
            </w:r>
          </w:p>
        </w:tc>
      </w:tr>
    </w:tbl>
    <w:p>
      <w:pPr>
        <w:spacing w:after="0"/>
      </w:pPr>
    </w:p>
    <w:p>
      <w:pPr>
        <w:pStyle w:val="Heading2"/>
      </w:pPr>
      <w:r>
        <w:t>Versionado y publicación</w:t>
      </w:r>
    </w:p>
    <w:p>
      <w:r>
        <w:rPr>
          <w:rFonts w:ascii="Calibri" w:hAnsi="Calibri"/>
          <w:b w:val="0"/>
          <w:i w:val="0"/>
          <w:color w:val="000000"/>
          <w:sz w:val="22"/>
        </w:rPr>
        <w:t>La entrega debe crear el tag v1.0.0 y publicar la imagen en GitHub Container Registry (GHCR). El workflow actual no se activa con tags y publica en Artifact Registry solamente cuando existe configuración GCP. Se incorporará un job condicional para tags con permisos packages: write, manteniendo el despliegue público como una etapa independiente.</w:t>
      </w:r>
    </w:p>
    <w:p>
      <w:r>
        <w:br w:type="page"/>
      </w:r>
    </w:p>
    <w:p>
      <w:pPr>
        <w:pStyle w:val="Heading1"/>
      </w:pPr>
      <w:r>
        <w:t>4. Limitaciones y trabajo pendiente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0B2545"/>
                <w:sz w:val="22"/>
              </w:rPr>
              <w:t>Limitación</w:t>
            </w:r>
          </w:p>
        </w:tc>
        <w:tc>
          <w:tcPr>
            <w:tcW w:type="dxa" w:w="66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0B2545"/>
                <w:sz w:val="22"/>
              </w:rPr>
              <w:t>Impacto y tratamiento propuesto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Desbalance y precisión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Baja precisión y falsos positivos. Ajustar el umbral según costos de negocio.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Datos históricos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Sin validación temporal ni drift. Monitorear distribuciones y desempeño.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Contrato incompleto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Faltan /predict/batch, /model/schema y sus pruebas.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CI parcial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Todavía no se ejecuta build/smoke real ni publicación en GHCR.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Despliegue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Aún no se verifica una URL pública funcional.</w:t>
            </w:r>
          </w:p>
        </w:tc>
      </w:tr>
    </w:tbl>
    <w:p>
      <w:pPr>
        <w:spacing w:after="0"/>
      </w:pPr>
    </w:p>
    <w:p>
      <w:pPr>
        <w:pStyle w:val="Heading2"/>
      </w:pPr>
      <w:r>
        <w:t>Distribución preliminar del trabajo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0B2545"/>
                <w:sz w:val="22"/>
              </w:rPr>
              <w:t>Integrante</w:t>
            </w:r>
          </w:p>
        </w:tc>
        <w:tc>
          <w:tcPr>
            <w:tcW w:type="dxa" w:w="69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0B2545"/>
                <w:sz w:val="22"/>
              </w:rPr>
              <w:t>Responsabilidad registrada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Leonor Saravia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Estructura base y primera implementación del repositorio compartido.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Valentina Ariztía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Docker build, despliegue en Cloud Run y prueba de humo.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Jonathan Machuca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Endpoint batch, ejemplo curl, .env.example y declaración de IA en README.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Hemersson Gutiérrez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Endpoint model/schema, rama de integración y video de demostración.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Alejandra Véliz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Informe Word/PDF y publicación de la imagen en GHCR al crear el tag.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i/>
          <w:color w:val="5B6573"/>
          <w:sz w:val="22"/>
        </w:rPr>
        <w:t>Asignación preliminar: actualizar antes de entregar según las contribuciones integradas.</w:t>
      </w:r>
    </w:p>
    <w:p>
      <w:pPr>
        <w:pStyle w:val="Heading2"/>
      </w:pPr>
      <w:r>
        <w:t>Uso de inteligencia artificial</w:t>
      </w:r>
    </w:p>
    <w:p>
      <w:r>
        <w:rPr>
          <w:rFonts w:ascii="Calibri" w:hAnsi="Calibri"/>
          <w:b w:val="0"/>
          <w:i w:val="0"/>
          <w:color w:val="000000"/>
          <w:sz w:val="22"/>
        </w:rPr>
        <w:t>Se utilizó ChatGPT/Codex para revisar la pauta y el repositorio, organizar el informe y apoyar la redacción. El equipo conserva la responsabilidad sobre las decisiones, ejecución, validación y entrega.</w:t>
      </w:r>
    </w:p>
    <w:p>
      <w:pPr>
        <w:pStyle w:val="Heading2"/>
      </w:pPr>
      <w:r>
        <w:t>Fuentes</w:t>
      </w:r>
    </w:p>
    <w:p>
      <w:pPr>
        <w:spacing w:after="0"/>
      </w:pPr>
      <w:r>
        <w:rPr>
          <w:rFonts w:ascii="Calibri" w:hAnsi="Calibri"/>
          <w:b/>
          <w:i w:val="0"/>
          <w:color w:val="0B2545"/>
          <w:sz w:val="22"/>
        </w:rPr>
        <w:t xml:space="preserve">Dataset y notebook: </w:t>
      </w:r>
      <w:r>
        <w:rPr>
          <w:rFonts w:ascii="Calibri" w:hAnsi="Calibri"/>
          <w:b w:val="0"/>
          <w:i w:val="0"/>
          <w:color w:val="000000"/>
          <w:sz w:val="19"/>
        </w:rPr>
        <w:t>kaggle.com/datasets/anandshaw2001/customer-churn-dataset · kaggle.com/code/ih8asham/customer-churn-dataset</w:t>
      </w:r>
    </w:p>
    <w:p>
      <w:pPr>
        <w:spacing w:after="0"/>
      </w:pPr>
      <w:r>
        <w:rPr>
          <w:rFonts w:ascii="Calibri" w:hAnsi="Calibri"/>
          <w:b/>
          <w:i w:val="0"/>
          <w:color w:val="0B2545"/>
          <w:sz w:val="22"/>
        </w:rPr>
        <w:t xml:space="preserve">Repositorio y pauta: </w:t>
      </w:r>
      <w:r>
        <w:rPr>
          <w:rFonts w:ascii="Calibri" w:hAnsi="Calibri"/>
          <w:b w:val="0"/>
          <w:i w:val="0"/>
          <w:color w:val="000000"/>
          <w:sz w:val="19"/>
        </w:rPr>
        <w:t>github.com/LeoSaraviaS/churn-mlops · Servicio MLOps end-to-end, UAI.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b w:val="0"/>
        <w:i w:val="0"/>
        <w:color w:val="5B6573"/>
        <w:sz w:val="18"/>
      </w:rPr>
      <w:t xml:space="preserve">Borrador v0.1  ·  Página </w:t>
    </w:r>
    <w:r>
      <w:rPr>
        <w:rFonts w:ascii="Calibri" w:hAnsi="Calibri"/>
        <w:b w:val="0"/>
        <w:i w:val="0"/>
        <w:color w:val="5B6573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 w:val="0"/>
        <w:i w:val="0"/>
        <w:color w:val="5B6573"/>
        <w:sz w:val="18"/>
      </w:rPr>
      <w:t>UAI · MLOps | Servicio de predicción de churn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20"/>
    </w:pPr>
    <w:rPr>
      <w:rFonts w:asciiTheme="majorHAnsi" w:eastAsiaTheme="majorEastAsia" w:hAnsiTheme="majorHAnsi" w:cstheme="majorBidi" w:ascii="Calibri" w:hAnsi="Calibri"/>
      <w:b w:val="0"/>
      <w:i/>
      <w:iCs/>
      <w:color w:val="5B6573"/>
      <w:spacing w:val="15"/>
      <w:sz w:val="27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MLOps — Predicción de churn</dc:title>
  <dc:subject>Servicio MLOps end-to-end con regresión logística</dc:subject>
  <dc:creator>Equipo MLOps UAI</dc:creator>
  <cp:keywords>MLOps, churn, FastAPI, Docker, CI/CD, regresión logística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