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建材サーチ利用契約書"/>
    <w:p>
      <w:pPr>
        <w:pStyle w:val="Heading1"/>
        <w:jc w:val="center"/>
      </w:pPr>
      <w:r>
        <w:t xml:space="preserve">「建材サーチ」利用契約書</w:t>
      </w:r>
    </w:p>
    <w:p>
      <w:pPr>
        <w:pStyle w:val="FirstParagraph"/>
      </w:pPr>
      <w:r>
        <w:t xml:space="preserve">積水樹脂株式会社（以下「甲」という。）と株式会社Archi Village（以下「乙」という。）は、建材商品情報の総合プラットフォームとして、設計事務所や代理店等のセレクターによる商品選定を容易にし、メーカーの販売促進に資することを目的とするクラウドサービス「建材サーチ」の利用等に関して、次のとおり合意し、この「建材サーチ」利用契約（以下「本契約」という。）を締結する。</w:t>
      </w:r>
    </w:p>
    <w:bookmarkStart w:id="23" w:name="第1章-総-則"/>
    <w:p>
      <w:pPr>
        <w:pStyle w:val="Heading2"/>
      </w:pPr>
      <w:r>
        <w:t xml:space="preserve">第1章　総　則</w:t>
      </w:r>
    </w:p>
    <w:bookmarkStart w:id="20" w:name="第1条本契約の趣旨"/>
    <w:p>
      <w:pPr>
        <w:pStyle w:val="Heading3"/>
      </w:pPr>
      <w:r>
        <w:t xml:space="preserve">第1条（本契約の趣旨）</w:t>
      </w:r>
    </w:p>
    <w:p>
      <w:pPr>
        <w:pStyle w:val="FirstParagraph"/>
      </w:pPr>
      <w:r>
        <w:t xml:space="preserve">1　本契約に定める条件に基づき、乙は甲に対し、第2条に定義する本件サービスを提供し、甲は乙に対し、第2条に定義する本件サービスのサブスクリプション購入代金を支払うものとする。</w:t>
      </w:r>
    </w:p>
    <w:p>
      <w:pPr>
        <w:pStyle w:val="BodyText"/>
      </w:pPr>
      <w:r>
        <w:t xml:space="preserve">2　本件サービスは、第2条に定義するSaaSサービスから構成され、第2条に定義する甲の採用する製品を、乙の公開するWebサイトのうち甲が設定した範囲内に表示させるサービスとする。</w:t>
      </w:r>
    </w:p>
    <w:p>
      <w:pPr>
        <w:pStyle w:val="BodyText"/>
      </w:pPr>
      <w:r>
        <w:t xml:space="preserve">3　本件サービスの概要は、本契約に定めるとおりとする。</w:t>
      </w:r>
    </w:p>
    <w:p>
      <w:pPr>
        <w:pStyle w:val="BodyText"/>
      </w:pPr>
      <w:r>
        <w:t xml:space="preserve">4　本契約の定めと「申込書」又は「建材サーチ利用規約」の定めとが抵触する場合は、本契約の定めが優先して適用されるものとする。なお、「申込書」の定めと「建材サーチ利用規約」の定めとが抵触する場合は、「申込書」の定めが優先して適用されるものとする。</w:t>
      </w:r>
    </w:p>
    <w:bookmarkEnd w:id="20"/>
    <w:bookmarkStart w:id="22" w:name="第2条定義"/>
    <w:p>
      <w:pPr>
        <w:pStyle w:val="Heading3"/>
      </w:pPr>
      <w:r>
        <w:t xml:space="preserve">第2条（定義）</w:t>
      </w:r>
    </w:p>
    <w:p>
      <w:pPr>
        <w:pStyle w:val="FirstParagraph"/>
      </w:pPr>
      <w:r>
        <w:t xml:space="preserve">本契約における用語の意義は、次の各号に定めるとおりとする。</w:t>
      </w:r>
    </w:p>
    <w:p>
      <w:pPr>
        <w:pStyle w:val="BodyText"/>
      </w:pPr>
      <w:r>
        <w:t xml:space="preserve">　(1)　「建材サーチ」とは、乙が提供するインターネット上のサービスであって、</w:t>
      </w:r>
      <w:hyperlink r:id="rId21">
        <w:r>
          <w:rPr>
            <w:rStyle w:val="Hyperlink"/>
          </w:rPr>
          <w:t xml:space="preserve">https://kenzai-search.jp</w:t>
        </w:r>
      </w:hyperlink>
      <w:r>
        <w:t xml:space="preserve"> </w:t>
      </w:r>
      <w:r>
        <w:t xml:space="preserve">というURLで表示されるWebページ内において、甲その他の法人及び個人が保有する当該法人及び個人の製品を表示させるサービスをいう。表示の詳細な方法及び表示例は、乙が定める仕様によるものとする。</w:t>
      </w:r>
    </w:p>
    <w:p>
      <w:pPr>
        <w:pStyle w:val="BodyText"/>
      </w:pPr>
      <w:r>
        <w:t xml:space="preserve">　(2)　「本件サービス」とは、乙が提供する「建材サーチ」上に、甲の採用する製品に関する写真、概要、寸法、規格、品番その他乙が定める仕様に従った情報を表示させるサービスをいう。掲載情報の内容及び範囲は、乙が定める仕様によるものとし、甲は、これに従い必要な情報を提供するものとする。</w:t>
      </w:r>
    </w:p>
    <w:p>
      <w:pPr>
        <w:pStyle w:val="BodyText"/>
      </w:pPr>
      <w:r>
        <w:t xml:space="preserve">　(3)　「本件サービス開始日」とは、本件サービスを開始する準備が整い、第4条に定めるサービス開始の条件が満たされた状態で、実際に「建材サーチ」上において甲の採用する製品が閲覧可能な状態となった日をいう。</w:t>
      </w:r>
    </w:p>
    <w:p>
      <w:pPr>
        <w:pStyle w:val="BodyText"/>
      </w:pPr>
      <w:r>
        <w:t xml:space="preserve">　(4)　「サブスクリプション」とは、甲が一定期間本件サービスを利用する地位をいい、月額利用料等のサブスクリプション購入代金は、申込書に特定されるものをいう。ただし、月額利用料は、本件サービスのサブスクリプション購入に基づくものであり、実際の利用の有無に基づくものではない。</w:t>
      </w:r>
    </w:p>
    <w:p>
      <w:pPr>
        <w:pStyle w:val="BodyText"/>
      </w:pPr>
      <w:r>
        <w:t xml:space="preserve">　(5)　「甲の採用する製品」とは、甲が甲の販売先に販売することができる製品であって、その画像等の情報を本件サービス上で使用することについて、権利者等から許諾を得ているもの又は甲自らがその権利を有しているものをいう。</w:t>
      </w:r>
    </w:p>
    <w:p>
      <w:pPr>
        <w:pStyle w:val="BodyText"/>
      </w:pPr>
      <w:r>
        <w:t xml:space="preserve">　(6)　「建材サーチ用データ」とは、乙が、甲の採用する製品が掲載されたカタログのデータの画像を元に作成した「建材サーチ」専用の表示データをいう。甲は、乙の事前の承諾がない限り、当該表示データを、その著作権の所在にかかわらず、乙の指示する方法以外の方法で使用してはならない（例えば、甲が、当該表示データを建材サーチと関連する使用方法を超えて使用することは許されない。）。なお、甲が建材サーチ用に乙へ提供するデータを「提供データ」という。</w:t>
      </w:r>
    </w:p>
    <w:p>
      <w:pPr>
        <w:pStyle w:val="BodyText"/>
      </w:pPr>
      <w:r>
        <w:t xml:space="preserve">　(7)　「SaaSサービス」とは、「Software as a Service」の略称であり、クラウドコンピューティングを通じて提供されるサービスの総称（PaaS及びIaaSを含むが、これらに限られない。）をいう。本契約においては、乙の提供するサービスは、その性質のいかんにかかわらず、SaaSサービスに属するものとする。</w:t>
      </w:r>
    </w:p>
    <w:p>
      <w:pPr>
        <w:pStyle w:val="BodyText"/>
      </w:pPr>
      <w:r>
        <w:t xml:space="preserve">　(8)　「会員登録者」とは、建材サーチについて会員登録を行った上で利用する甲、甲の社員及び甲の販売先をいう。</w:t>
      </w:r>
    </w:p>
    <w:p>
      <w:pPr>
        <w:pStyle w:val="BodyText"/>
      </w:pPr>
      <w:r>
        <w:t xml:space="preserve">　(9)　「企業ドメイン」とは、会員登録者のうち、甲を識別するためにドメインによる区分を使用する場合における、ドメイン情報をいう。甲を識別する方法が今後変更された場合は、別途協議するものとする。</w:t>
      </w:r>
    </w:p>
    <w:p>
      <w:pPr>
        <w:pStyle w:val="BodyText"/>
      </w:pPr>
      <w:r>
        <w:t xml:space="preserve">　(10)　「著作権」とは、日本を含む全世界における、著作権法上の全ての権利（著作権法第27条及び第28条所定の各権利を含み、これらに限られない。）並びに、商品、製品等に関する著作権、商標権、意匠権、所有権及びデータ利用権を含むものとする。</w:t>
      </w:r>
    </w:p>
    <w:bookmarkEnd w:id="22"/>
    <w:bookmarkEnd w:id="23"/>
    <w:bookmarkStart w:id="34" w:name="第2章-本件サービスの提供及び利用"/>
    <w:p>
      <w:pPr>
        <w:pStyle w:val="Heading2"/>
      </w:pPr>
      <w:r>
        <w:t xml:space="preserve">第2章　本件サービスの提供及び利用</w:t>
      </w:r>
    </w:p>
    <w:bookmarkStart w:id="24" w:name="第3条本件サービスの利用条件"/>
    <w:p>
      <w:pPr>
        <w:pStyle w:val="Heading3"/>
      </w:pPr>
      <w:r>
        <w:t xml:space="preserve">第3条（本件サービスの利用条件）</w:t>
      </w:r>
    </w:p>
    <w:p>
      <w:pPr>
        <w:pStyle w:val="FirstParagraph"/>
      </w:pPr>
      <w:r>
        <w:t xml:space="preserve">1　甲は、本契約において乙が第4項で認めた利用範囲内で、甲の業務のために本件サービスを利用することができる。甲は、甲又は甲の販売先以外の第三者に、本件サービスの利用を許諾することはできない。</w:t>
      </w:r>
    </w:p>
    <w:p>
      <w:pPr>
        <w:pStyle w:val="BodyText"/>
      </w:pPr>
      <w:r>
        <w:t xml:space="preserve">2　本件サービスの利用可能時間その他の利用条件等の詳細については、本契約に定めるほか、甲は、本件サービスを維持するための定期的又は必要なメンテナンスにより、サーバが停止することがあることを理解し、承認する。</w:t>
      </w:r>
    </w:p>
    <w:p>
      <w:pPr>
        <w:pStyle w:val="BodyText"/>
      </w:pPr>
      <w:r>
        <w:t xml:space="preserve">3　乙は、甲が本契約において乙が認めた利用範囲内で本件サービスを利用していることを確認するため、必要な調査を行うことができるものとし、甲は、これに応じるものとする。</w:t>
      </w:r>
    </w:p>
    <w:p>
      <w:pPr>
        <w:pStyle w:val="BodyText"/>
      </w:pPr>
      <w:r>
        <w:t xml:space="preserve">4　甲及び乙は、本契約により提供される本件サービスの範囲を、次の表に記載する範囲とすることに合意する。</w:t>
      </w:r>
    </w:p>
    <w:tbl>
      <w:tblPr>
        <w:tblStyle w:val="Table"/>
        <w:tblW w:type="pct" w:w="5000"/>
        <w:tblLayout w:type="fixed"/>
        <w:tblLook w:firstRow="1" w:lastRow="0" w:firstColumn="0" w:lastColumn="0" w:noHBand="0" w:noVBand="0" w:val="0020"/>
        <w:jc w:val="start"/>
        <w:tblBorders>
          <w:top w:val="nil"/>
          <w:left w:val="nil"/>
          <w:bottom w:val="nil"/>
          <w:right w:val="nil"/>
          <w:insideH w:val="nil"/>
          <w:insideV w:val="nil"/>
        </w:tblBorders>
        <w:tblLayout w:type="fixed"/>
      </w:tblPr>
      <w:tblGrid>
        <w:gridCol w:w="680"/>
        <w:gridCol w:w="1814"/>
        <w:gridCol w:w="3288"/>
        <w:gridCol w:w="3288"/>
      </w:tblGrid>
      <w:tr>
        <w:trPr>
          <w:tblHeader w:val="true"/>
          <w:tblHeader/>
          <w:cantSplit/>
        </w:trPr>
        <w:tc>
          <w:tcPr>
            <w:tcW w:type="dxa" w:w="680"/>
            <w:shd w:val="clear" w:fill="E7E6E6"/>
          </w:tcPr>
          <w:p>
            <w:pPr>
              <w:pStyle w:val="Compact"/>
              <w:jc w:val="center"/>
            </w:pPr>
            <w:r>
              <w:rPr>
                <w:b/>
                <w:sz w:val="19"/>
              </w:rPr>
              <w:t xml:space="preserve">No.</w:t>
            </w:r>
          </w:p>
        </w:tc>
        <w:tc>
          <w:tcPr>
            <w:tcW w:type="dxa" w:w="1814"/>
            <w:shd w:val="clear" w:fill="E7E6E6"/>
          </w:tcPr>
          <w:p>
            <w:pPr>
              <w:pStyle w:val="Compact"/>
              <w:jc w:val="center"/>
            </w:pPr>
            <w:r>
              <w:rPr>
                <w:b/>
                <w:sz w:val="19"/>
              </w:rPr>
              <w:t xml:space="preserve">機能概要</w:t>
            </w:r>
          </w:p>
        </w:tc>
        <w:tc>
          <w:tcPr>
            <w:tcW w:type="dxa" w:w="3288"/>
            <w:shd w:val="clear" w:fill="E7E6E6"/>
          </w:tcPr>
          <w:p>
            <w:pPr>
              <w:pStyle w:val="Compact"/>
              <w:jc w:val="center"/>
            </w:pPr>
            <w:r>
              <w:rPr>
                <w:b/>
                <w:sz w:val="19"/>
              </w:rPr>
              <w:t xml:space="preserve">詳細</w:t>
            </w:r>
          </w:p>
        </w:tc>
        <w:tc>
          <w:tcPr>
            <w:tcW w:type="dxa" w:w="3288"/>
            <w:shd w:val="clear" w:fill="E7E6E6"/>
          </w:tcPr>
          <w:p>
            <w:pPr>
              <w:pStyle w:val="Compact"/>
              <w:jc w:val="center"/>
            </w:pPr>
            <w:r>
              <w:rPr>
                <w:b/>
                <w:sz w:val="19"/>
              </w:rPr>
              <w:t xml:space="preserve">留意点</w:t>
            </w:r>
          </w:p>
        </w:tc>
      </w:tr>
      <w:tr>
        <w:trPr>
          <w:cantSplit/>
        </w:trPr>
        <w:tc>
          <w:tcPr>
            <w:tcW w:type="dxa" w:w="680"/>
          </w:tcPr>
          <w:p>
            <w:pPr>
              <w:pStyle w:val="Compact"/>
              <w:jc w:val="center"/>
            </w:pPr>
            <w:r>
              <w:rPr>
                <w:sz w:val="19"/>
              </w:rPr>
              <w:t xml:space="preserve">1</w:t>
            </w:r>
          </w:p>
        </w:tc>
        <w:tc>
          <w:tcPr>
            <w:tcW w:type="dxa" w:w="1814"/>
          </w:tcPr>
          <w:p>
            <w:pPr>
              <w:pStyle w:val="Compact"/>
              <w:jc w:val="left"/>
            </w:pPr>
            <w:r>
              <w:rPr>
                <w:sz w:val="19"/>
              </w:rPr>
              <w:t xml:space="preserve">商品情報建材サーチ表示機能</w:t>
            </w:r>
          </w:p>
        </w:tc>
        <w:tc>
          <w:tcPr>
            <w:tcW w:type="dxa" w:w="3288"/>
          </w:tcPr>
          <w:p>
            <w:pPr>
              <w:pStyle w:val="Compact"/>
              <w:jc w:val="left"/>
            </w:pPr>
            <w:r>
              <w:rPr>
                <w:sz w:val="19"/>
              </w:rPr>
              <w:t xml:space="preserve">甲の採用する製品について、甲の提供データに基づき、建材サーチ上に製品データを表示させる機能</w:t>
            </w:r>
          </w:p>
        </w:tc>
        <w:tc>
          <w:tcPr>
            <w:tcW w:type="dxa" w:w="3288"/>
          </w:tcPr>
          <w:p>
            <w:pPr>
              <w:pStyle w:val="Compact"/>
              <w:jc w:val="left"/>
            </w:pPr>
            <w:r>
              <w:rPr>
                <w:sz w:val="19"/>
              </w:rPr>
              <w:t xml:space="preserve">甲の採用する製品の画像の加工、切り抜き等を行い、乙の建材サーチの規格に合わせる。また、掲載されている製品情報が更新された場合、又は廃番若しくは取扱いがなくなった場合は、甲が乙に対し、乙が必要とする情報を提供するものとする。</w:t>
            </w:r>
          </w:p>
        </w:tc>
      </w:tr>
      <w:tr>
        <w:trPr>
          <w:cantSplit/>
        </w:trPr>
        <w:tc>
          <w:tcPr>
            <w:tcW w:type="dxa" w:w="680"/>
          </w:tcPr>
          <w:p>
            <w:pPr>
              <w:pStyle w:val="Compact"/>
              <w:jc w:val="center"/>
            </w:pPr>
            <w:r>
              <w:rPr>
                <w:sz w:val="19"/>
              </w:rPr>
              <w:t xml:space="preserve">2</w:t>
            </w:r>
          </w:p>
        </w:tc>
        <w:tc>
          <w:tcPr>
            <w:tcW w:type="dxa" w:w="1814"/>
          </w:tcPr>
          <w:p>
            <w:pPr>
              <w:pStyle w:val="Compact"/>
              <w:jc w:val="left"/>
            </w:pPr>
            <w:r>
              <w:rPr>
                <w:sz w:val="19"/>
              </w:rPr>
              <w:t xml:space="preserve">商品情報検索機能</w:t>
            </w:r>
          </w:p>
        </w:tc>
        <w:tc>
          <w:tcPr>
            <w:tcW w:type="dxa" w:w="3288"/>
          </w:tcPr>
          <w:p>
            <w:pPr>
              <w:pStyle w:val="Compact"/>
              <w:jc w:val="left"/>
            </w:pPr>
            <w:r>
              <w:rPr>
                <w:sz w:val="19"/>
              </w:rPr>
              <w:t xml:space="preserve">No.1の機能により登録された商品情報に対し、キーワード検索及び絞り込み検索ができる機能</w:t>
            </w:r>
          </w:p>
        </w:tc>
        <w:tc>
          <w:tcPr>
            <w:tcW w:type="dxa" w:w="3288"/>
          </w:tcPr>
          <w:p>
            <w:pPr>
              <w:pStyle w:val="Compact"/>
              <w:jc w:val="left"/>
            </w:pPr>
            <w:r>
              <w:rPr>
                <w:sz w:val="19"/>
              </w:rPr>
              <w:t xml:space="preserve">「絞り込み検索」における絞り込み条件は、「色・幅・高さ・価格」に限るものとし、その他の条件については協議により定めるものとする。</w:t>
            </w:r>
          </w:p>
        </w:tc>
      </w:tr>
      <w:tr>
        <w:trPr>
          <w:cantSplit/>
        </w:trPr>
        <w:tc>
          <w:tcPr>
            <w:tcW w:type="dxa" w:w="680"/>
          </w:tcPr>
          <w:p>
            <w:pPr>
              <w:pStyle w:val="Compact"/>
              <w:jc w:val="center"/>
            </w:pPr>
            <w:r>
              <w:rPr>
                <w:sz w:val="19"/>
              </w:rPr>
              <w:t xml:space="preserve">3</w:t>
            </w:r>
          </w:p>
        </w:tc>
        <w:tc>
          <w:tcPr>
            <w:tcW w:type="dxa" w:w="1814"/>
          </w:tcPr>
          <w:p>
            <w:pPr>
              <w:pStyle w:val="Compact"/>
              <w:jc w:val="left"/>
            </w:pPr>
            <w:r>
              <w:rPr>
                <w:sz w:val="19"/>
              </w:rPr>
              <w:t xml:space="preserve">会員登録機能</w:t>
            </w:r>
          </w:p>
        </w:tc>
        <w:tc>
          <w:tcPr>
            <w:tcW w:type="dxa" w:w="3288"/>
          </w:tcPr>
          <w:p>
            <w:pPr>
              <w:pStyle w:val="Compact"/>
              <w:jc w:val="left"/>
            </w:pPr>
            <w:r>
              <w:rPr>
                <w:sz w:val="19"/>
              </w:rPr>
              <w:t xml:space="preserve">会員登録をすることで、次の機能が利用可能となる。</w:t>
            </w:r>
            <w:r>
              <w:rPr>
                <w:sz w:val="19"/>
              </w:rPr>
              <w:t xml:space="preserve">・ピックアップリスト機能：商品をお気に入り登録できる機能</w:t>
            </w:r>
          </w:p>
        </w:tc>
        <w:tc>
          <w:tcPr>
            <w:tcW w:type="dxa" w:w="3288"/>
          </w:tcPr>
          <w:p>
            <w:pPr>
              <w:pStyle w:val="Compact"/>
            </w:pPr>
          </w:p>
        </w:tc>
      </w:tr>
    </w:tbl>
    <w:p>
      <w:pPr>
        <w:pStyle w:val="BodyText"/>
      </w:pPr>
      <w:r>
        <w:t xml:space="preserve">5　本契約に定めのないサービスの提供を希望する場合、甲は、乙と協議の上、別途契約を締結するものとする。</w:t>
      </w:r>
    </w:p>
    <w:bookmarkEnd w:id="24"/>
    <w:bookmarkStart w:id="25" w:name="第4条サービス開始までの流れ"/>
    <w:p>
      <w:pPr>
        <w:pStyle w:val="Heading3"/>
      </w:pPr>
      <w:r>
        <w:t xml:space="preserve">第4条（サービス開始までの流れ）</w:t>
      </w:r>
    </w:p>
    <w:p>
      <w:pPr>
        <w:pStyle w:val="FirstParagraph"/>
      </w:pPr>
      <w:r>
        <w:t xml:space="preserve">1　甲は、乙に対し、申込書に記載する初期費用を支払うものとし、乙は、その後、甲から提供を受けた甲の採用する製品に関する情報（提供方法は、別途乙が指定する。）を元に、当該情報を受領した日から3か月以内に建材サーチ用データを作成するものとする。</w:t>
      </w:r>
    </w:p>
    <w:p>
      <w:pPr>
        <w:pStyle w:val="BodyText"/>
      </w:pPr>
      <w:r>
        <w:t xml:space="preserve">2　乙は、建材サーチ用データが完成したときは、甲に建材サーチ用データを提供し、その表示等について確認を求めるものとする。甲は、提供を受けた日から14営業日以内にその表示等について確認を行い、同期間内に、サービスを開始することについての諾否を乙に通知するものとする。この場合において、表示方法又は内容に修正等があるときは、乙はこれに応じるものとし、サービス開始日は、乙が合理的に定めるものとする。なお、建材サーチ用データは、乙が独自の規格及び独自の技術により加工した画像データであるから、甲は、確認の目的の範囲でその利用権を取得するにとどまり、乙の事前の承諾がある場合を除き、建材サーチ以外のサービスに利用してはならない。</w:t>
      </w:r>
    </w:p>
    <w:p>
      <w:pPr>
        <w:pStyle w:val="BodyText"/>
      </w:pPr>
      <w:r>
        <w:t xml:space="preserve">3　甲が前項の諾否の通知を期限内に行わない場合は、期限が経過した時点で、甲が承諾したものとみなし、サービスが開始されるものとする。</w:t>
      </w:r>
    </w:p>
    <w:p>
      <w:pPr>
        <w:pStyle w:val="BodyText"/>
      </w:pPr>
      <w:r>
        <w:t xml:space="preserve">4　サービス開始日は、第2項に定める甲の諾否の通知を乙が受領してから3営業日以内で乙が定めるものとする。前項の場合は、期限が経過した後、乙の任意の日にサービスを開始するものとする。</w:t>
      </w:r>
    </w:p>
    <w:p>
      <w:pPr>
        <w:pStyle w:val="BodyText"/>
      </w:pPr>
      <w:r>
        <w:t xml:space="preserve">5　甲は、本件サービス開始前に、実際に本件サービスを利用する甲の従業員その他甲の指示により本件サービスを利用する者に対し、本契約の内容を確認させ、遵守させるものとする。</w:t>
      </w:r>
    </w:p>
    <w:bookmarkEnd w:id="25"/>
    <w:bookmarkStart w:id="26" w:name="第5条サポートサービス"/>
    <w:p>
      <w:pPr>
        <w:pStyle w:val="Heading3"/>
      </w:pPr>
      <w:r>
        <w:t xml:space="preserve">第5条（サポート・サービス）</w:t>
      </w:r>
    </w:p>
    <w:p>
      <w:pPr>
        <w:pStyle w:val="FirstParagraph"/>
      </w:pPr>
      <w:r>
        <w:t xml:space="preserve">1　甲が本件サービスを利用するに際し、乙は、次の表に定めるサポート・サービスを提供するものとする。</w:t>
      </w:r>
    </w:p>
    <w:p>
      <w:pPr>
        <w:pStyle w:val="BodyText"/>
      </w:pPr>
      <w:r>
        <w:t xml:space="preserve">〈建材サーチに関するサポート〉</w:t>
      </w:r>
    </w:p>
    <w:tbl>
      <w:tblPr>
        <w:tblStyle w:val="Table"/>
        <w:tblW w:type="pct" w:w="5000"/>
        <w:tblLayout w:type="fixed"/>
        <w:tblLook w:firstRow="1" w:lastRow="0" w:firstColumn="0" w:lastColumn="0" w:noHBand="0" w:noVBand="0" w:val="0020"/>
        <w:jc w:val="start"/>
        <w:tblBorders>
          <w:top w:val="nil"/>
          <w:left w:val="nil"/>
          <w:bottom w:val="nil"/>
          <w:right w:val="nil"/>
          <w:insideH w:val="nil"/>
          <w:insideV w:val="nil"/>
        </w:tblBorders>
        <w:tblLayout w:type="fixed"/>
      </w:tblPr>
      <w:tblGrid>
        <w:gridCol w:w="680"/>
        <w:gridCol w:w="1814"/>
        <w:gridCol w:w="3288"/>
        <w:gridCol w:w="3288"/>
      </w:tblGrid>
      <w:tr>
        <w:trPr>
          <w:tblHeader w:val="true"/>
          <w:tblHeader/>
          <w:cantSplit/>
        </w:trPr>
        <w:tc>
          <w:tcPr>
            <w:tcW w:type="dxa" w:w="680"/>
            <w:shd w:val="clear" w:fill="E7E6E6"/>
          </w:tcPr>
          <w:p>
            <w:pPr>
              <w:pStyle w:val="Compact"/>
              <w:jc w:val="center"/>
            </w:pPr>
            <w:r>
              <w:rPr>
                <w:b/>
                <w:sz w:val="19"/>
              </w:rPr>
              <w:t xml:space="preserve">No.</w:t>
            </w:r>
          </w:p>
        </w:tc>
        <w:tc>
          <w:tcPr>
            <w:tcW w:type="dxa" w:w="1814"/>
            <w:shd w:val="clear" w:fill="E7E6E6"/>
          </w:tcPr>
          <w:p>
            <w:pPr>
              <w:pStyle w:val="Compact"/>
              <w:jc w:val="center"/>
            </w:pPr>
            <w:r>
              <w:rPr>
                <w:b/>
                <w:sz w:val="19"/>
              </w:rPr>
              <w:t xml:space="preserve">項目</w:t>
            </w:r>
          </w:p>
        </w:tc>
        <w:tc>
          <w:tcPr>
            <w:tcW w:type="dxa" w:w="3288"/>
            <w:shd w:val="clear" w:fill="E7E6E6"/>
          </w:tcPr>
          <w:p>
            <w:pPr>
              <w:pStyle w:val="Compact"/>
              <w:jc w:val="center"/>
            </w:pPr>
            <w:r>
              <w:rPr>
                <w:b/>
                <w:sz w:val="19"/>
              </w:rPr>
              <w:t xml:space="preserve">細目</w:t>
            </w:r>
          </w:p>
        </w:tc>
        <w:tc>
          <w:tcPr>
            <w:tcW w:type="dxa" w:w="3288"/>
            <w:shd w:val="clear" w:fill="E7E6E6"/>
          </w:tcPr>
          <w:p>
            <w:pPr>
              <w:pStyle w:val="Compact"/>
              <w:jc w:val="center"/>
            </w:pPr>
            <w:r>
              <w:rPr>
                <w:b/>
                <w:sz w:val="19"/>
              </w:rPr>
              <w:t xml:space="preserve">備考</w:t>
            </w:r>
          </w:p>
        </w:tc>
      </w:tr>
      <w:tr>
        <w:trPr>
          <w:cantSplit/>
        </w:trPr>
        <w:tc>
          <w:tcPr>
            <w:tcW w:type="dxa" w:w="680"/>
          </w:tcPr>
          <w:p>
            <w:pPr>
              <w:pStyle w:val="Compact"/>
              <w:jc w:val="center"/>
            </w:pPr>
            <w:r>
              <w:rPr>
                <w:sz w:val="19"/>
              </w:rPr>
              <w:t xml:space="preserve">1</w:t>
            </w:r>
          </w:p>
        </w:tc>
        <w:tc>
          <w:tcPr>
            <w:tcW w:type="dxa" w:w="1814"/>
          </w:tcPr>
          <w:p>
            <w:pPr>
              <w:pStyle w:val="Compact"/>
              <w:jc w:val="left"/>
            </w:pPr>
            <w:r>
              <w:rPr>
                <w:sz w:val="19"/>
              </w:rPr>
              <w:t xml:space="preserve">商品情報の管理・変更対応</w:t>
            </w:r>
          </w:p>
        </w:tc>
        <w:tc>
          <w:tcPr>
            <w:tcW w:type="dxa" w:w="3288"/>
          </w:tcPr>
          <w:p>
            <w:pPr>
              <w:pStyle w:val="Compact"/>
              <w:jc w:val="left"/>
            </w:pPr>
            <w:r>
              <w:rPr>
                <w:sz w:val="19"/>
              </w:rPr>
              <w:t xml:space="preserve">建材サーチに掲載されている甲の採用する製品に関して、その情報のアップデートに関するサポートを実施する。</w:t>
            </w:r>
          </w:p>
        </w:tc>
        <w:tc>
          <w:tcPr>
            <w:tcW w:type="dxa" w:w="3288"/>
          </w:tcPr>
          <w:p>
            <w:pPr>
              <w:pStyle w:val="Compact"/>
              <w:jc w:val="left"/>
            </w:pPr>
            <w:r>
              <w:rPr>
                <w:sz w:val="19"/>
              </w:rPr>
              <w:t xml:space="preserve">原則として月1回、まとめて更新する。緊急性が高い場合は、別途協議するものとする。</w:t>
            </w:r>
          </w:p>
        </w:tc>
      </w:tr>
      <w:tr>
        <w:trPr>
          <w:cantSplit/>
        </w:trPr>
        <w:tc>
          <w:tcPr>
            <w:tcW w:type="dxa" w:w="680"/>
          </w:tcPr>
          <w:p>
            <w:pPr>
              <w:pStyle w:val="Compact"/>
              <w:jc w:val="center"/>
            </w:pPr>
            <w:r>
              <w:rPr>
                <w:sz w:val="19"/>
              </w:rPr>
              <w:t xml:space="preserve">2</w:t>
            </w:r>
          </w:p>
        </w:tc>
        <w:tc>
          <w:tcPr>
            <w:tcW w:type="dxa" w:w="1814"/>
          </w:tcPr>
          <w:p>
            <w:pPr>
              <w:pStyle w:val="Compact"/>
              <w:jc w:val="left"/>
            </w:pPr>
            <w:r>
              <w:rPr>
                <w:sz w:val="19"/>
              </w:rPr>
              <w:t xml:space="preserve">アクセスデータの共有</w:t>
            </w:r>
          </w:p>
        </w:tc>
        <w:tc>
          <w:tcPr>
            <w:tcW w:type="dxa" w:w="3288"/>
          </w:tcPr>
          <w:p>
            <w:pPr>
              <w:pStyle w:val="Compact"/>
              <w:jc w:val="left"/>
            </w:pPr>
            <w:r>
              <w:rPr>
                <w:sz w:val="19"/>
              </w:rPr>
              <w:t xml:space="preserve">建材サーチに掲載されている甲の採用する製品に関して、ページごとのPV及び検索キーワードに関するデータを共有する。</w:t>
            </w:r>
          </w:p>
        </w:tc>
        <w:tc>
          <w:tcPr>
            <w:tcW w:type="dxa" w:w="3288"/>
          </w:tcPr>
          <w:p>
            <w:pPr>
              <w:pStyle w:val="Compact"/>
            </w:pPr>
          </w:p>
        </w:tc>
      </w:tr>
      <w:tr>
        <w:trPr>
          <w:cantSplit/>
        </w:trPr>
        <w:tc>
          <w:tcPr>
            <w:tcW w:type="dxa" w:w="680"/>
          </w:tcPr>
          <w:p>
            <w:pPr>
              <w:pStyle w:val="Compact"/>
              <w:jc w:val="center"/>
            </w:pPr>
            <w:r>
              <w:rPr>
                <w:sz w:val="19"/>
              </w:rPr>
              <w:t xml:space="preserve">3</w:t>
            </w:r>
          </w:p>
        </w:tc>
        <w:tc>
          <w:tcPr>
            <w:tcW w:type="dxa" w:w="1814"/>
          </w:tcPr>
          <w:p>
            <w:pPr>
              <w:pStyle w:val="Compact"/>
              <w:jc w:val="left"/>
            </w:pPr>
            <w:r>
              <w:rPr>
                <w:sz w:val="19"/>
              </w:rPr>
              <w:t xml:space="preserve">建材サーチに関するお問合せ対応</w:t>
            </w:r>
          </w:p>
        </w:tc>
        <w:tc>
          <w:tcPr>
            <w:tcW w:type="dxa" w:w="3288"/>
          </w:tcPr>
          <w:p>
            <w:pPr>
              <w:pStyle w:val="Compact"/>
              <w:jc w:val="left"/>
            </w:pPr>
            <w:r>
              <w:rPr>
                <w:sz w:val="19"/>
              </w:rPr>
              <w:t xml:space="preserve">建材サーチの使い方、不明点等のお問合せに対し、回答する。</w:t>
            </w:r>
          </w:p>
        </w:tc>
        <w:tc>
          <w:tcPr>
            <w:tcW w:type="dxa" w:w="3288"/>
          </w:tcPr>
          <w:p>
            <w:pPr>
              <w:pStyle w:val="Compact"/>
            </w:pPr>
          </w:p>
        </w:tc>
      </w:tr>
      <w:tr>
        <w:trPr>
          <w:cantSplit/>
        </w:trPr>
        <w:tc>
          <w:tcPr>
            <w:tcW w:type="dxa" w:w="680"/>
          </w:tcPr>
          <w:p>
            <w:pPr>
              <w:pStyle w:val="Compact"/>
              <w:jc w:val="center"/>
            </w:pPr>
            <w:r>
              <w:rPr>
                <w:sz w:val="19"/>
              </w:rPr>
              <w:t xml:space="preserve">4</w:t>
            </w:r>
          </w:p>
        </w:tc>
        <w:tc>
          <w:tcPr>
            <w:tcW w:type="dxa" w:w="1814"/>
          </w:tcPr>
          <w:p>
            <w:pPr>
              <w:pStyle w:val="Compact"/>
              <w:jc w:val="left"/>
            </w:pPr>
            <w:r>
              <w:rPr>
                <w:sz w:val="19"/>
              </w:rPr>
              <w:t xml:space="preserve">建材サーチ用情報の追加</w:t>
            </w:r>
          </w:p>
        </w:tc>
        <w:tc>
          <w:tcPr>
            <w:tcW w:type="dxa" w:w="3288"/>
          </w:tcPr>
          <w:p>
            <w:pPr>
              <w:pStyle w:val="Compact"/>
              <w:jc w:val="left"/>
            </w:pPr>
            <w:r>
              <w:rPr>
                <w:sz w:val="19"/>
              </w:rPr>
              <w:t xml:space="preserve">契約期間中、提供データ（建材サーチ用データを作成するための資料の一切）を提供し、建材サーチ用データを新たに作成する場合の追加方法及び追加費用は、甲乙協議の上、合意した方法及び金額により、申込書に記載する方法で定めるものとする。</w:t>
            </w:r>
          </w:p>
        </w:tc>
        <w:tc>
          <w:tcPr>
            <w:tcW w:type="dxa" w:w="3288"/>
          </w:tcPr>
          <w:p>
            <w:pPr>
              <w:pStyle w:val="Compact"/>
            </w:pPr>
          </w:p>
        </w:tc>
      </w:tr>
    </w:tbl>
    <w:p>
      <w:pPr>
        <w:pStyle w:val="BodyText"/>
      </w:pPr>
      <w:r>
        <w:t xml:space="preserve">2　本件サービスについて、前項に記載のない事項は、オプションサービスとして、甲乙協議の上、決定するものとする。</w:t>
      </w:r>
    </w:p>
    <w:bookmarkEnd w:id="26"/>
    <w:bookmarkStart w:id="27" w:name="第6条利用環境"/>
    <w:p>
      <w:pPr>
        <w:pStyle w:val="Heading3"/>
      </w:pPr>
      <w:r>
        <w:t xml:space="preserve">第6条（利用環境）</w:t>
      </w:r>
    </w:p>
    <w:p>
      <w:pPr>
        <w:pStyle w:val="FirstParagraph"/>
      </w:pPr>
      <w:r>
        <w:t xml:space="preserve">甲は、自らの責任及び負担において、本件サービスの利用条件を満たす環境を整え、必要な設定を行うものとする。</w:t>
      </w:r>
    </w:p>
    <w:bookmarkEnd w:id="27"/>
    <w:bookmarkStart w:id="28" w:name="第7条禁止事項"/>
    <w:p>
      <w:pPr>
        <w:pStyle w:val="Heading3"/>
      </w:pPr>
      <w:r>
        <w:t xml:space="preserve">第7条（禁止事項）</w:t>
      </w:r>
    </w:p>
    <w:p>
      <w:pPr>
        <w:pStyle w:val="FirstParagraph"/>
      </w:pPr>
      <w:r>
        <w:t xml:space="preserve">1　甲は、本件サービスの利用にあたり、会員登録者として、次の各号に該当する行為をしてはならない。</w:t>
      </w:r>
    </w:p>
    <w:p>
      <w:pPr>
        <w:pStyle w:val="BodyText"/>
      </w:pPr>
      <w:r>
        <w:t xml:space="preserve">　(1)　乙が書面により承諾した場合を除き、有償又は無償を問わず、本件サービスを利用するにあたり、甲の従業員及び甲が許諾した甲の販売先を含む利用者以外の者に、甲の登録した企業ドメインを使用させること</w:t>
      </w:r>
    </w:p>
    <w:p>
      <w:pPr>
        <w:pStyle w:val="BodyText"/>
      </w:pPr>
      <w:r>
        <w:t xml:space="preserve">　(2)　本件サービスを法令又は公序良俗に反する目的で利用すること</w:t>
      </w:r>
    </w:p>
    <w:p>
      <w:pPr>
        <w:pStyle w:val="BodyText"/>
      </w:pPr>
      <w:r>
        <w:t xml:space="preserve">　(3)　本件サービスの著作権その他の知的財産権を侵害すること</w:t>
      </w:r>
    </w:p>
    <w:p>
      <w:pPr>
        <w:pStyle w:val="BodyText"/>
      </w:pPr>
      <w:r>
        <w:t xml:space="preserve">　(4)　乙の本件サービスの運営に支障を及ぼす行為又はそのおそれのある行為</w:t>
      </w:r>
    </w:p>
    <w:p>
      <w:pPr>
        <w:pStyle w:val="BodyText"/>
      </w:pPr>
      <w:r>
        <w:t xml:space="preserve">　(5)　その他、乙が本件サービスの運営に支障が生じると判断する行為</w:t>
      </w:r>
    </w:p>
    <w:p>
      <w:pPr>
        <w:pStyle w:val="BodyText"/>
      </w:pPr>
      <w:r>
        <w:t xml:space="preserve">2　前項の規定のうち、第1号以外の規定は、会員登録をしないで利用する甲及び甲の社員にも適用される。</w:t>
      </w:r>
    </w:p>
    <w:bookmarkEnd w:id="28"/>
    <w:bookmarkStart w:id="29" w:name="第8条不適正情報の削除"/>
    <w:p>
      <w:pPr>
        <w:pStyle w:val="Heading3"/>
      </w:pPr>
      <w:r>
        <w:t xml:space="preserve">第8条（不適正情報の削除）</w:t>
      </w:r>
    </w:p>
    <w:p>
      <w:pPr>
        <w:pStyle w:val="FirstParagraph"/>
      </w:pPr>
      <w:r>
        <w:t xml:space="preserve">1　乙は、甲が本件サービスに登録又は提供した情報が、次の各号のいずれかに該当すると判断した場合、甲に通知することなく、当該情報を削除することができる。ただし、乙は、当該情報に関する削除義務を負うものではない。</w:t>
      </w:r>
    </w:p>
    <w:p>
      <w:pPr>
        <w:pStyle w:val="BodyText"/>
      </w:pPr>
      <w:r>
        <w:t xml:space="preserve">　(1)　前条第1項第2号から第4号までのいずれかに該当する情報</w:t>
      </w:r>
    </w:p>
    <w:p>
      <w:pPr>
        <w:pStyle w:val="BodyText"/>
      </w:pPr>
      <w:r>
        <w:t xml:space="preserve">　(2)　その他乙が合理的理由により削除の必要があると判断した情報</w:t>
      </w:r>
    </w:p>
    <w:p>
      <w:pPr>
        <w:pStyle w:val="BodyText"/>
      </w:pPr>
      <w:r>
        <w:t xml:space="preserve">2　乙は、本条の規定に従い前項各号所定の情報を削除したこと、又は当該情報を削除しなかったことにより甲に発生した損害について、一切の責任を負わない。</w:t>
      </w:r>
    </w:p>
    <w:bookmarkEnd w:id="29"/>
    <w:bookmarkStart w:id="30" w:name="第9条id等の管理責任"/>
    <w:p>
      <w:pPr>
        <w:pStyle w:val="Heading3"/>
      </w:pPr>
      <w:r>
        <w:t xml:space="preserve">第9条（ID等の管理責任）</w:t>
      </w:r>
    </w:p>
    <w:p>
      <w:pPr>
        <w:pStyle w:val="FirstParagraph"/>
      </w:pPr>
      <w:r>
        <w:t xml:space="preserve">1　甲は、乙から本件サービスを利用するために必要なID及びパスワード（以下「ID等」という。）の発行を受けた場合、本件サービスを利用するためにのみ当該ID等を使用するものとし、当該ID等を第三者（本件サービスを利用する権限のない甲の従業員を含む。以下、本条において同じ。）に開示又は漏洩することがないよう、善良な管理者の注意をもって管理するものとする。</w:t>
      </w:r>
    </w:p>
    <w:p>
      <w:pPr>
        <w:pStyle w:val="BodyText"/>
      </w:pPr>
      <w:r>
        <w:t xml:space="preserve">2　甲の責めに帰すべき事由により、ID等が第三者に開示又は漏洩し、当該第三者がID等を用いて本件サービスを利用した場合、甲による利用とみなす。</w:t>
      </w:r>
    </w:p>
    <w:p>
      <w:pPr>
        <w:pStyle w:val="BodyText"/>
      </w:pPr>
      <w:r>
        <w:t xml:space="preserve">3　前項の第三者による利用に関し、甲に損害が生じた場合であっても、乙は、一切の賠償責任を負わない。</w:t>
      </w:r>
    </w:p>
    <w:bookmarkEnd w:id="30"/>
    <w:bookmarkStart w:id="31" w:name="第10条秘密情報の取扱い"/>
    <w:p>
      <w:pPr>
        <w:pStyle w:val="Heading3"/>
      </w:pPr>
      <w:r>
        <w:t xml:space="preserve">第10条（秘密情報の取扱い）</w:t>
      </w:r>
    </w:p>
    <w:p>
      <w:pPr>
        <w:pStyle w:val="FirstParagraph"/>
      </w:pPr>
      <w:r>
        <w:t xml:space="preserve">1　甲及び乙は、次項に定める方法で相手方から秘密と指定して開示された情報（以下「秘密情報」という。）について、その開示を受けた当事者（以下「受領当事者」という。）として、次の各号の定めに従い取り扱うものとする。</w:t>
      </w:r>
    </w:p>
    <w:p>
      <w:pPr>
        <w:pStyle w:val="BodyText"/>
      </w:pPr>
      <w:r>
        <w:t xml:space="preserve">　(1)　秘密に保持し、事前に相手方の文書による承諾を得ることなく、第三者（第28条の定めに基づき乙が本件サービスの遂行を委託する第三者を除く。）に開示しないこと。</w:t>
      </w:r>
    </w:p>
    <w:p>
      <w:pPr>
        <w:pStyle w:val="BodyText"/>
      </w:pPr>
      <w:r>
        <w:t xml:space="preserve">　(2)　本契約の目的の範囲内でのみ使用、複製及び改変すること。</w:t>
      </w:r>
    </w:p>
    <w:p>
      <w:pPr>
        <w:pStyle w:val="BodyText"/>
      </w:pPr>
      <w:r>
        <w:t xml:space="preserve">　(3)　本契約の終了後又は相手方から求められた場合、相手方の指示に従い、速やかに相手方に返却し、又は自らの責任で消却すること（秘密情報の複製物及び改変物も同様とする。）。</w:t>
      </w:r>
    </w:p>
    <w:p>
      <w:pPr>
        <w:pStyle w:val="BodyText"/>
      </w:pPr>
      <w:r>
        <w:t xml:space="preserve">2　甲及び乙は、前項に定める秘密情報としての取扱いを要する情報を相手方に開示する場合、次の各号に定める方法で行うものとする。</w:t>
      </w:r>
    </w:p>
    <w:p>
      <w:pPr>
        <w:pStyle w:val="BodyText"/>
      </w:pPr>
      <w:r>
        <w:t xml:space="preserve">　(1)　文書で開示する場合、「Confidential」等の秘密である旨を表示して相手方に提供すること。</w:t>
      </w:r>
    </w:p>
    <w:p>
      <w:pPr>
        <w:pStyle w:val="BodyText"/>
      </w:pPr>
      <w:r>
        <w:t xml:space="preserve">　(2)　電子記録媒体で開示する場合、当該電子記録媒体の表面上に前号の表示を付すとともに、当該電子記録媒体に電磁的方式（電子的方式、磁気的方式その他人の知覚によっては認識することができない方式をいう。以下同様とする。）により前号の表示を記録することが技術的に可能な場合は、電磁的方式により前号の表示を記録して、相手方に開示すること。</w:t>
      </w:r>
    </w:p>
    <w:p>
      <w:pPr>
        <w:pStyle w:val="BodyText"/>
      </w:pPr>
      <w:r>
        <w:t xml:space="preserve">　(3)　電子メールで開示する場合、本文等に第1号に定める表示をして、相手方に開示すること（電子メールにファイル等が添付されている場合は、当該ファイル等についても同様とする。）。</w:t>
      </w:r>
    </w:p>
    <w:p>
      <w:pPr>
        <w:pStyle w:val="BodyText"/>
      </w:pPr>
      <w:r>
        <w:t xml:space="preserve">　(4)　口頭で開示する場合、開示の際に、当該情報が秘密情報としての取扱いを要するものである旨を相手方に告げ、当該口頭による開示後14日以内に、前各号のいずれかの方法により相手方に開示すること。</w:t>
      </w:r>
    </w:p>
    <w:p>
      <w:pPr>
        <w:pStyle w:val="BodyText"/>
      </w:pPr>
      <w:r>
        <w:t xml:space="preserve">3　第1項の定めは、次の各号のいずれかに該当する情報には適用しない。</w:t>
      </w:r>
    </w:p>
    <w:p>
      <w:pPr>
        <w:pStyle w:val="BodyText"/>
      </w:pPr>
      <w:r>
        <w:t xml:space="preserve">　(1)　相手方から開示される前に既に受領当事者が保有していた情報</w:t>
      </w:r>
    </w:p>
    <w:p>
      <w:pPr>
        <w:pStyle w:val="BodyText"/>
      </w:pPr>
      <w:r>
        <w:t xml:space="preserve">　(2)　相手方から開示された秘密情報によることなく、受領当事者が独自に開発した情報</w:t>
      </w:r>
    </w:p>
    <w:p>
      <w:pPr>
        <w:pStyle w:val="BodyText"/>
      </w:pPr>
      <w:r>
        <w:t xml:space="preserve">　(3)　公知の情報</w:t>
      </w:r>
    </w:p>
    <w:p>
      <w:pPr>
        <w:pStyle w:val="BodyText"/>
      </w:pPr>
      <w:r>
        <w:t xml:space="preserve">　(4)　受領当事者が秘密保持に係る義務を負うことなく、第三者から正当に入手した情報</w:t>
      </w:r>
    </w:p>
    <w:p>
      <w:pPr>
        <w:pStyle w:val="BodyText"/>
      </w:pPr>
      <w:r>
        <w:t xml:space="preserve">　(5)　権限ある官公庁から開示を求められた情報</w:t>
      </w:r>
    </w:p>
    <w:p>
      <w:pPr>
        <w:pStyle w:val="BodyText"/>
      </w:pPr>
      <w:r>
        <w:t xml:space="preserve">4　第1項及び前項の定めは、本契約の終了後1年間、有効に存続するものとする。</w:t>
      </w:r>
    </w:p>
    <w:bookmarkEnd w:id="31"/>
    <w:bookmarkStart w:id="32" w:name="第11条第三者サービスの利用"/>
    <w:p>
      <w:pPr>
        <w:pStyle w:val="Heading3"/>
      </w:pPr>
      <w:r>
        <w:t xml:space="preserve">第11条（第三者サービスの利用）</w:t>
      </w:r>
    </w:p>
    <w:p>
      <w:pPr>
        <w:pStyle w:val="FirstParagraph"/>
      </w:pPr>
      <w:r>
        <w:t xml:space="preserve">乙が本件サービスの運営のために、乙以外の者が権利を有するクラウドサービスその他「建材サーチ」を運営する上で必要なインターネット上のサービス（以下「第三者サービス」という。）を使用する場合において、別途、甲乙間で使用許諾契約等の締結が必要なときは、甲及び乙は、第三者サービスを使用するために必要な措置を講ずるものとする。</w:t>
      </w:r>
    </w:p>
    <w:bookmarkEnd w:id="32"/>
    <w:bookmarkStart w:id="33" w:name="第12条本件サービスの回復及び再開時の措置"/>
    <w:p>
      <w:pPr>
        <w:pStyle w:val="Heading3"/>
      </w:pPr>
      <w:r>
        <w:t xml:space="preserve">第12条（本件サービスの回復及び再開時の措置）</w:t>
      </w:r>
    </w:p>
    <w:p>
      <w:pPr>
        <w:pStyle w:val="FirstParagraph"/>
      </w:pPr>
      <w:r>
        <w:t xml:space="preserve">本件サービスの全部又は一部が停止し、乙が甲に対し、その再開のために必要な協力を求めた場合、甲は、速やかにこれに応じるものとする。</w:t>
      </w:r>
    </w:p>
    <w:bookmarkEnd w:id="33"/>
    <w:bookmarkEnd w:id="34"/>
    <w:bookmarkStart w:id="38" w:name="第3章-料-金"/>
    <w:p>
      <w:pPr>
        <w:pStyle w:val="Heading2"/>
      </w:pPr>
      <w:r>
        <w:t xml:space="preserve">第3章　料　金</w:t>
      </w:r>
    </w:p>
    <w:bookmarkStart w:id="35" w:name="第13条サービス料金"/>
    <w:p>
      <w:pPr>
        <w:pStyle w:val="Heading3"/>
      </w:pPr>
      <w:r>
        <w:t xml:space="preserve">第13条（サービス料金）</w:t>
      </w:r>
    </w:p>
    <w:p>
      <w:pPr>
        <w:pStyle w:val="FirstParagraph"/>
      </w:pPr>
      <w:r>
        <w:t xml:space="preserve">1　甲は、本件サービスを開始するための準備の費用として、初期費用という名目で、別途申込書に記載する金額を、申込書記載の支払方法により支払うものとする。</w:t>
      </w:r>
    </w:p>
    <w:p>
      <w:pPr>
        <w:pStyle w:val="BodyText"/>
      </w:pPr>
      <w:r>
        <w:t xml:space="preserve">2　前項の初期費用は、乙が甲の採用する製品情報を加工し、本件サービスを開始するために必要な人件費及び技術費用の一切の対価として受領するものとする。</w:t>
      </w:r>
    </w:p>
    <w:p>
      <w:pPr>
        <w:pStyle w:val="BodyText"/>
      </w:pPr>
      <w:r>
        <w:t xml:space="preserve">3　甲は、乙に対し、本件サービスの提供を受ける対価として、申込書の定めに従い所定の利用料金（以下「本件サービス料金」という。）並びに消費税及び地方消費税（以下、本件サービス料金と併せて「本件サービス料金等」という。）を支払うものとする。なお、支払条件は、申込書又は乙の発行する請求書記載の条件に従うものとする。</w:t>
      </w:r>
    </w:p>
    <w:p>
      <w:pPr>
        <w:pStyle w:val="BodyText"/>
      </w:pPr>
      <w:r>
        <w:t xml:space="preserve">4　本件サービス料金等の支払は、乙の指定する銀行口座に振り込むことにより行うものとし、振込手数料は、甲の負担とする。</w:t>
      </w:r>
    </w:p>
    <w:p>
      <w:pPr>
        <w:pStyle w:val="BodyText"/>
      </w:pPr>
      <w:r>
        <w:t xml:space="preserve">5　別途定める「申込書」に「月額」と記載されている本件サービス料金は、サービス開始日が属する月から発生するものとし、サービス開始日が月の途中であっても、当該月の利用料が発生するものとする。また、利用料は、暦月ごとに発生するものとする。</w:t>
      </w:r>
    </w:p>
    <w:bookmarkEnd w:id="35"/>
    <w:bookmarkStart w:id="36" w:name="第14条サービス料金不払時の措置"/>
    <w:p>
      <w:pPr>
        <w:pStyle w:val="Heading3"/>
      </w:pPr>
      <w:r>
        <w:t xml:space="preserve">第14条（サービス料金不払時の措置）</w:t>
      </w:r>
    </w:p>
    <w:p>
      <w:pPr>
        <w:pStyle w:val="FirstParagraph"/>
      </w:pPr>
      <w:r>
        <w:t xml:space="preserve">1　甲が、正当な理由を記載した文書による申出をすることなく、乙の発行する請求書記載の支払期日までに本件サービス料金等を支払わなかった場合、乙は、甲に対し、事前に通知した上で、本件サービスの全部又は一部を停止することができる。</w:t>
      </w:r>
    </w:p>
    <w:p>
      <w:pPr>
        <w:pStyle w:val="BodyText"/>
      </w:pPr>
      <w:r>
        <w:t xml:space="preserve">2　甲が乙に対し、前項所定の支払期日までに本件サービス料金等を支払わなかった場合、甲は、乙に対し、年10％の割合による遅延損害金を支払うものとする。</w:t>
      </w:r>
    </w:p>
    <w:bookmarkEnd w:id="36"/>
    <w:bookmarkStart w:id="37" w:name="第15条サービス料金の変更"/>
    <w:p>
      <w:pPr>
        <w:pStyle w:val="Heading3"/>
      </w:pPr>
      <w:r>
        <w:t xml:space="preserve">第15条（サービス料金の変更）</w:t>
      </w:r>
    </w:p>
    <w:p>
      <w:pPr>
        <w:pStyle w:val="FirstParagraph"/>
      </w:pPr>
      <w:r>
        <w:t xml:space="preserve">1　経済情勢、公租公課等の変動により本件サービス料金等が不相当となり、変更の必要が生じたときは、甲乙協議の上、本件サービス料金を変更することができる。</w:t>
      </w:r>
    </w:p>
    <w:p>
      <w:pPr>
        <w:pStyle w:val="BodyText"/>
      </w:pPr>
      <w:r>
        <w:t xml:space="preserve">2　本件サービス料金が暦月の途中で変更された場合、変更後の本件サービス料金は、翌月の初日から適用する。</w:t>
      </w:r>
    </w:p>
    <w:bookmarkEnd w:id="37"/>
    <w:bookmarkEnd w:id="38"/>
    <w:bookmarkStart w:id="46" w:name="第4章-サービスの停止及び責任"/>
    <w:p>
      <w:pPr>
        <w:pStyle w:val="Heading2"/>
      </w:pPr>
      <w:r>
        <w:t xml:space="preserve">第4章　サービスの停止及び責任</w:t>
      </w:r>
    </w:p>
    <w:bookmarkStart w:id="39" w:name="第16条保守等による本件サービスの一時停止"/>
    <w:p>
      <w:pPr>
        <w:pStyle w:val="Heading3"/>
      </w:pPr>
      <w:r>
        <w:t xml:space="preserve">第16条（保守等による本件サービスの一時停止）</w:t>
      </w:r>
    </w:p>
    <w:p>
      <w:pPr>
        <w:pStyle w:val="FirstParagraph"/>
      </w:pPr>
      <w:r>
        <w:t xml:space="preserve">1　乙は、次の各号のいずれかに該当する場合、2営業日前までに甲へ文書又は電子メールにより通知することにより、本件サービスの全部又は一部を一時的に停止することができる。ただし、緊急かつやむを得ないと乙が判断した場合は、事前に甲に通知することなく、本件サービスの全部又は一部を一時的に停止することができる。</w:t>
      </w:r>
    </w:p>
    <w:p>
      <w:pPr>
        <w:pStyle w:val="BodyText"/>
      </w:pPr>
      <w:r>
        <w:t xml:space="preserve">　(1)　本件サービスの提供に必要な設備等に対し、保守、工事、障害の対策等の実施が必要なとき</w:t>
      </w:r>
    </w:p>
    <w:p>
      <w:pPr>
        <w:pStyle w:val="BodyText"/>
      </w:pPr>
      <w:r>
        <w:t xml:space="preserve">　(2)　サーバ提供者、インターネットサービス提供者、プロバイダその他の電気通信事業者が、その役務の提供を中止するとき</w:t>
      </w:r>
    </w:p>
    <w:p>
      <w:pPr>
        <w:pStyle w:val="BodyText"/>
      </w:pPr>
      <w:r>
        <w:t xml:space="preserve">　(3)　その他乙が必要と認めたとき</w:t>
      </w:r>
    </w:p>
    <w:p>
      <w:pPr>
        <w:pStyle w:val="BodyText"/>
      </w:pPr>
      <w:r>
        <w:t xml:space="preserve">2　前項の定めに基づき、乙が本件サービスの全部又は一部を一時的に停止した場合において、当該一時停止の原因が解決又は終了したと乙が判断したときは、乙は、本件サービスの再開に必要な措置を直ちに講ずるものとする。</w:t>
      </w:r>
    </w:p>
    <w:p>
      <w:pPr>
        <w:pStyle w:val="BodyText"/>
      </w:pPr>
      <w:r>
        <w:t xml:space="preserve">3　本条に定める場合により甲に損害が生じた場合であっても、乙は、その責任を負わない。</w:t>
      </w:r>
    </w:p>
    <w:bookmarkEnd w:id="39"/>
    <w:bookmarkStart w:id="40" w:name="第17条不可抗力による本件サービスの停止"/>
    <w:p>
      <w:pPr>
        <w:pStyle w:val="Heading3"/>
      </w:pPr>
      <w:r>
        <w:t xml:space="preserve">第17条（不可抗力による本件サービスの停止）</w:t>
      </w:r>
    </w:p>
    <w:p>
      <w:pPr>
        <w:pStyle w:val="FirstParagraph"/>
      </w:pPr>
      <w:r>
        <w:t xml:space="preserve">1　天災地変その他の不可抗力により本件サービスの全部又は一部が停止した場合、乙は、本件サービスの停止後遅滞なく甲に文書又は電子メールにより通知するものとし、可能な限り本件サービスの復旧に努めるものとする。</w:t>
      </w:r>
    </w:p>
    <w:p>
      <w:pPr>
        <w:pStyle w:val="BodyText"/>
      </w:pPr>
      <w:r>
        <w:t xml:space="preserve">2　本条に定める場合により甲に損害が生じた場合であっても、乙は、その責任を負わない。</w:t>
      </w:r>
    </w:p>
    <w:bookmarkEnd w:id="40"/>
    <w:bookmarkStart w:id="41" w:name="第18条利用不能"/>
    <w:p>
      <w:pPr>
        <w:pStyle w:val="Heading3"/>
      </w:pPr>
      <w:r>
        <w:t xml:space="preserve">第18条（利用不能）</w:t>
      </w:r>
    </w:p>
    <w:p>
      <w:pPr>
        <w:pStyle w:val="FirstParagraph"/>
      </w:pPr>
      <w:r>
        <w:t xml:space="preserve">前二条に定める場合を除き、乙の責めに帰すべき事由により本件サービスの全部又は一部が停止した場合、乙は、甲に対し、直ちにその理由を通知するとともに、本件サービスの復旧に必要な措置を速やかに講ずるものとする。また、この停止により甲に損害が生じた場合、甲は、乙に対し、第22条の規定に基づき、当該損害の賠償を請求することができる。</w:t>
      </w:r>
    </w:p>
    <w:bookmarkEnd w:id="41"/>
    <w:bookmarkStart w:id="42" w:name="第19条本件サービスの廃止"/>
    <w:p>
      <w:pPr>
        <w:pStyle w:val="Heading3"/>
      </w:pPr>
      <w:r>
        <w:t xml:space="preserve">第19条（本件サービスの廃止）</w:t>
      </w:r>
    </w:p>
    <w:p>
      <w:pPr>
        <w:pStyle w:val="FirstParagraph"/>
      </w:pPr>
      <w:r>
        <w:t xml:space="preserve">1　乙が甲に対し、本件サービスの全部又は一部を廃止する日（以下「サービス廃止日」という。）の3か月前までに、その旨を文書又は電子メールにより通知した場合、乙は、第23条に定める最低利用期間内であっても、当該サービス廃止日をもって本件サービスの全部又は一部を廃止し、本契約の全部又は一部を解約することができる。</w:t>
      </w:r>
    </w:p>
    <w:p>
      <w:pPr>
        <w:pStyle w:val="BodyText"/>
      </w:pPr>
      <w:r>
        <w:t xml:space="preserve">2　前項に基づき、乙が本件サービスの全部又は一部を廃止した時点において、既に甲が乙に支払済みの本件サービス料金がある場合、乙は、甲に対し、当該廃止する本件サービスについて提供しない日数に対応する本件サービス料金を、日割計算により返還するものとする。</w:t>
      </w:r>
    </w:p>
    <w:bookmarkEnd w:id="42"/>
    <w:bookmarkStart w:id="43" w:name="第20条クラウドサービス上のデータの保存管理及び削除"/>
    <w:p>
      <w:pPr>
        <w:pStyle w:val="Heading3"/>
      </w:pPr>
      <w:r>
        <w:t xml:space="preserve">第20条（クラウドサービス上のデータの保存、管理及び削除）</w:t>
      </w:r>
    </w:p>
    <w:p>
      <w:pPr>
        <w:pStyle w:val="FirstParagraph"/>
      </w:pPr>
      <w:r>
        <w:t xml:space="preserve">1　乙は、本契約の有効期間中、クラウドサービス上のデータを、乙の管理権が及ぶ範囲において、善良な管理者の注意をもって管理するものとする。</w:t>
      </w:r>
    </w:p>
    <w:p>
      <w:pPr>
        <w:pStyle w:val="BodyText"/>
      </w:pPr>
      <w:r>
        <w:t xml:space="preserve">2　乙は、本契約終了後、本件サービスに係る全てのサーバデータ及びクラウドサービス上のデータを削除することができる。</w:t>
      </w:r>
    </w:p>
    <w:p>
      <w:pPr>
        <w:pStyle w:val="BodyText"/>
      </w:pPr>
      <w:r>
        <w:t xml:space="preserve">3　甲は、本契約終了後において引き続き保存する必要があると判断したサーバデータについては、自らの責任で保存のために必要な一切の措置を講ずるものとし、乙は、一切の責任を負わない。</w:t>
      </w:r>
    </w:p>
    <w:p>
      <w:pPr>
        <w:pStyle w:val="BodyText"/>
      </w:pPr>
      <w:r>
        <w:t xml:space="preserve">4　乙は、本契約の有効期間中であっても、甲に対し、事前に文書又は電子メールにより通知した上で、サーバデータを削除することができる。ただし、第2項に基づきサーバデータを削除する場合は、事前の通知を要しない。</w:t>
      </w:r>
    </w:p>
    <w:bookmarkEnd w:id="43"/>
    <w:bookmarkStart w:id="44" w:name="第21条乙の責任範囲"/>
    <w:p>
      <w:pPr>
        <w:pStyle w:val="Heading3"/>
      </w:pPr>
      <w:r>
        <w:t xml:space="preserve">第21条（乙の責任範囲）</w:t>
      </w:r>
    </w:p>
    <w:p>
      <w:pPr>
        <w:pStyle w:val="FirstParagraph"/>
      </w:pPr>
      <w:r>
        <w:t xml:space="preserve">1　乙は、本件サービスの用に供するクラウドサービス、インターネット上のサービス及び通信回線に関し、次の各号に定めるハード、ソフト及び通信回線が正常に稼働する責任（乙の故意又は過失による回線不調以外の不調については、責任を負わない。）のみを負担し、これ以外の責任は一切負担しない。</w:t>
      </w:r>
    </w:p>
    <w:p>
      <w:pPr>
        <w:pStyle w:val="BodyText"/>
      </w:pPr>
      <w:r>
        <w:t xml:space="preserve">　(1)　本件サービスに紐づくクラウドサービス</w:t>
      </w:r>
    </w:p>
    <w:p>
      <w:pPr>
        <w:pStyle w:val="BodyText"/>
      </w:pPr>
      <w:r>
        <w:t xml:space="preserve">　(2)　ネットワーク</w:t>
      </w:r>
    </w:p>
    <w:p>
      <w:pPr>
        <w:pStyle w:val="BodyText"/>
      </w:pPr>
      <w:r>
        <w:t xml:space="preserve">　(3)　前条第1項の善管注意義務を果たすために用いたハード及びソフト</w:t>
      </w:r>
    </w:p>
    <w:p>
      <w:pPr>
        <w:pStyle w:val="BodyText"/>
      </w:pPr>
      <w:r>
        <w:t xml:space="preserve">　(4)　乙がインターネット等の外部のネットワークへ接続するために利用する回線</w:t>
      </w:r>
    </w:p>
    <w:p>
      <w:pPr>
        <w:pStyle w:val="BodyText"/>
      </w:pPr>
      <w:r>
        <w:t xml:space="preserve">2　乙は、本件サービスについて、特定の結果の達成、有用性、完全性又は特定の目的への適合性を保証しない。</w:t>
      </w:r>
    </w:p>
    <w:p>
      <w:pPr>
        <w:pStyle w:val="BodyText"/>
      </w:pPr>
      <w:r>
        <w:t xml:space="preserve">3　乙は、本件サービスを本契約に定める内容に適合するよう提供するものとする。</w:t>
      </w:r>
    </w:p>
    <w:p>
      <w:pPr>
        <w:pStyle w:val="BodyText"/>
      </w:pPr>
      <w:r>
        <w:t xml:space="preserve">4　本件サービスに契約不適合があった場合、乙は、当該不適合の修補又は合理的な代替手段の提供により対応するものとし、これをもって乙の責任の全部とする。ただし、第22条に定める場合を除き、乙は、これ以外の責任を一切負わない。</w:t>
      </w:r>
    </w:p>
    <w:p>
      <w:pPr>
        <w:pStyle w:val="BodyText"/>
      </w:pPr>
      <w:r>
        <w:t xml:space="preserve">5　サーバデータの全部又は一部が消失した場合において、その原因が次の各号のいずれかに該当するときは、乙は、一切の責任を負わない。</w:t>
      </w:r>
    </w:p>
    <w:p>
      <w:pPr>
        <w:pStyle w:val="BodyText"/>
      </w:pPr>
      <w:r>
        <w:t xml:space="preserve">　(1)　第三者が提供したサービスに起因して発生したとき</w:t>
      </w:r>
    </w:p>
    <w:p>
      <w:pPr>
        <w:pStyle w:val="BodyText"/>
      </w:pPr>
      <w:r>
        <w:t xml:space="preserve">　(2)　第三者の故意又は過失により発生したとき</w:t>
      </w:r>
    </w:p>
    <w:p>
      <w:pPr>
        <w:pStyle w:val="BodyText"/>
      </w:pPr>
      <w:r>
        <w:t xml:space="preserve">　(3)　AWS（Amazon Web Services）その他のクラウドインフラサービス又はサーバサービスの提供が中止されたことにより発生したとき</w:t>
      </w:r>
    </w:p>
    <w:p>
      <w:pPr>
        <w:pStyle w:val="BodyText"/>
      </w:pPr>
      <w:r>
        <w:t xml:space="preserve">　(4)　クライアント又はクライアントソフトに起因して発生したとき</w:t>
      </w:r>
    </w:p>
    <w:p>
      <w:pPr>
        <w:pStyle w:val="BodyText"/>
      </w:pPr>
      <w:r>
        <w:t xml:space="preserve">　(5)　サーバで稼働する建材サーチに関係しない原因に起因して発生したとき</w:t>
      </w:r>
    </w:p>
    <w:p>
      <w:pPr>
        <w:pStyle w:val="BodyText"/>
      </w:pPr>
      <w:r>
        <w:t xml:space="preserve">　(6)　前条に基づきサーバデータを削除したとき</w:t>
      </w:r>
    </w:p>
    <w:p>
      <w:pPr>
        <w:pStyle w:val="BodyText"/>
      </w:pPr>
      <w:r>
        <w:t xml:space="preserve">　(7)　天災地変その他の不可抗力により発生したとき</w:t>
      </w:r>
    </w:p>
    <w:p>
      <w:pPr>
        <w:pStyle w:val="BodyText"/>
      </w:pPr>
      <w:r>
        <w:t xml:space="preserve">　(8)　その他乙の責めに帰すべからざる事由により発生したとき</w:t>
      </w:r>
    </w:p>
    <w:p>
      <w:pPr>
        <w:pStyle w:val="BodyText"/>
      </w:pPr>
      <w:r>
        <w:t xml:space="preserve">6　前条第1項の善管注意義務を尽くしても防御できない方法を用いた第三者の行為に起因して甲に損害が発生した場合、乙は、一切の責任を負わない。</w:t>
      </w:r>
    </w:p>
    <w:p>
      <w:pPr>
        <w:pStyle w:val="BodyText"/>
      </w:pPr>
      <w:r>
        <w:t xml:space="preserve">7　第16条及び第17条に定める事由に起因して本件サービスの全部又は一部が停止した場合における乙の責任は、当該各条に定める責任に限られるものとし、乙は、当該各条に定める責任以外の一切の責任を負わない。</w:t>
      </w:r>
    </w:p>
    <w:p>
      <w:pPr>
        <w:pStyle w:val="BodyText"/>
      </w:pPr>
      <w:r>
        <w:t xml:space="preserve">8　第19条に基づき、乙が本件サービスの全部又は一部を廃止した場合における乙の責任は、同条第2項に定める責任に限られるものとし、乙は、同項に定める責任以外の一切の責任を負わない。</w:t>
      </w:r>
    </w:p>
    <w:bookmarkEnd w:id="44"/>
    <w:bookmarkStart w:id="45" w:name="第22条損害賠償"/>
    <w:p>
      <w:pPr>
        <w:pStyle w:val="Heading3"/>
      </w:pPr>
      <w:r>
        <w:t xml:space="preserve">第22条（損害賠償）</w:t>
      </w:r>
    </w:p>
    <w:p>
      <w:pPr>
        <w:pStyle w:val="FirstParagraph"/>
      </w:pPr>
      <w:r>
        <w:t xml:space="preserve">1　本契約の履行に関し、乙の責めに帰すべき事由により甲に損害が生じた場合、甲は、乙に対し、当該事由の直接の結果として甲が現実に被った通常の損害に限り、次項に定める額を上限として、その賠償を請求することができる。ただし、乙に故意又は重大な過失がある場合は、この限りでない。</w:t>
      </w:r>
    </w:p>
    <w:p>
      <w:pPr>
        <w:pStyle w:val="BodyText"/>
      </w:pPr>
      <w:r>
        <w:t xml:space="preserve">2　前項に定める損害賠償の上限額は、債務不履行、法律上の契約不適合責任、不当利得、不法行為その他請求原因のいかんにかかわらず、次の各号に定めるとおりとする。ただし、前項ただし書の場合は、この限りでない。</w:t>
      </w:r>
    </w:p>
    <w:p>
      <w:pPr>
        <w:pStyle w:val="BodyText"/>
      </w:pPr>
      <w:r>
        <w:t xml:space="preserve">　(1)　当該損害の生じた原因が、第13条第2項に定める本件サービスの開始のための準備作業（以下「初期設定サービス」という。）にある場合　乙が甲から受領した初期費用の額の20％に相当する額</w:t>
      </w:r>
    </w:p>
    <w:p>
      <w:pPr>
        <w:pStyle w:val="BodyText"/>
      </w:pPr>
      <w:r>
        <w:t xml:space="preserve">　(2)　当該損害の生じた原因が本件サービスにある場合　当該損害の生じた時点における月額の本件サービス料金の10％に相当する額</w:t>
      </w:r>
    </w:p>
    <w:p>
      <w:pPr>
        <w:pStyle w:val="BodyText"/>
      </w:pPr>
      <w:r>
        <w:t xml:space="preserve">3　前各項の定めにかかわらず、通信回線の障害、必要的メンテナンス、甲における端末の誤操作その他乙の責めに帰することができない事由から生じた損害、乙の予見の有無を問わず特別の事情から生じた損害、間接損害及び逸失利益については、乙は、請求原因のいかんにかかわらず、賠償責任を負わない。</w:t>
      </w:r>
    </w:p>
    <w:p>
      <w:pPr>
        <w:pStyle w:val="BodyText"/>
      </w:pPr>
      <w:r>
        <w:t xml:space="preserve">4　甲が、本件サービスにより表示される情報を、見積書の作成その他甲と甲の取引先等の第三者との間の取引に関連する目的で使用する場合、乙は、当該情報の正確性、最新性及び当該目的への適合性を保証せず、当該使用に起因又は関連して甲又は第三者に生じた損害について、一切の責任を負わない。</w:t>
      </w:r>
    </w:p>
    <w:p>
      <w:pPr>
        <w:pStyle w:val="BodyText"/>
      </w:pPr>
      <w:r>
        <w:t xml:space="preserve">5　建材サーチ用データその他本件サービスにおいて表示される甲の採用する製品に関する情報は、第4条第2項に定めるとおり、乙が甲に対しその内容の確認を求め、甲の確認又は同条第3項に基づくみなし承諾を経た上で公開されるものとする。甲は、当該確認を通じて表示内容の正確性を担保する責任を負うものとし、甲の確認を経て公開された情報の誤り等に起因する損害については、乙の故意又は重大な過失による場合を除き、乙は責任を負わない。</w:t>
      </w:r>
    </w:p>
    <w:p>
      <w:pPr>
        <w:pStyle w:val="BodyText"/>
      </w:pPr>
      <w:r>
        <w:t xml:space="preserve">6　本件サービスは、甲が登録・入力した建材商品情報等の整理及び表示等を支援するものであり、甲と甲の取引先等との間における個々の取引条件、原価、数量、単価、掲載情報の正確性又は妥当性を保証するものではない。甲は、本件サービスを通じて表示・作成された情報を自己の責任において確認・検証した上で取引先等へ提示するものとし、当該情報の使用・提示に起因して生じた取引上の逸失利益、取引先からの損害賠償請求その他の派生的な損害について、乙は、請求原因のいかんを問わず、一切の賠償責任を負わない。</w:t>
      </w:r>
    </w:p>
    <w:p>
      <w:pPr>
        <w:pStyle w:val="BodyText"/>
      </w:pPr>
      <w:r>
        <w:t xml:space="preserve">7　甲及び乙は、本条に定める損害賠償責任の上限及び免責の範囲が、本件サービスの月額の本件サービス料金及び初期費用等の対価の額、本件サービスの提供形態並びに乙が管理可能なリスクの範囲との不均衡を回避し、現在の料金体系でサービスを維持・継続するために不可欠な合意内容であることを確認し、これに同意する。</w:t>
      </w:r>
    </w:p>
    <w:bookmarkEnd w:id="45"/>
    <w:bookmarkEnd w:id="46"/>
    <w:bookmarkStart w:id="51" w:name="第5章-契約期間及び契約の終了"/>
    <w:p>
      <w:pPr>
        <w:pStyle w:val="Heading2"/>
      </w:pPr>
      <w:r>
        <w:t xml:space="preserve">第5章　契約期間及び契約の終了</w:t>
      </w:r>
    </w:p>
    <w:bookmarkStart w:id="47" w:name="第23条契約期間"/>
    <w:p>
      <w:pPr>
        <w:pStyle w:val="Heading3"/>
      </w:pPr>
      <w:r>
        <w:t xml:space="preserve">第23条（契約期間）</w:t>
      </w:r>
    </w:p>
    <w:p>
      <w:pPr>
        <w:pStyle w:val="FirstParagraph"/>
      </w:pPr>
      <w:r>
        <w:t xml:space="preserve">1　本契約の初回の有効期間は、本契約締結日から、本件サービス開始日から起算して1年間が経過する日までとし、同日を契約終了日とする。</w:t>
      </w:r>
    </w:p>
    <w:p>
      <w:pPr>
        <w:pStyle w:val="BodyText"/>
      </w:pPr>
      <w:r>
        <w:t xml:space="preserve">2　前項の有効期間は、本件サービスの最低利用期間とし、甲は、本契約の有効期間中、本契約を中途解約することができない。ただし、第19条又は次条に定める事由による場合を除く。</w:t>
      </w:r>
    </w:p>
    <w:p>
      <w:pPr>
        <w:pStyle w:val="BodyText"/>
      </w:pPr>
      <w:r>
        <w:t xml:space="preserve">3　第1項の契約終了日の90日前までに、契約当事者のいずれかが本契約を更新しない旨の通知をした場合を除き、本契約は、同じ条件でさらに1年間更新されるものとし、以後も同様とする。</w:t>
      </w:r>
    </w:p>
    <w:p>
      <w:pPr>
        <w:pStyle w:val="BodyText"/>
      </w:pPr>
      <w:r>
        <w:t xml:space="preserve">4　乙が解約の申入れを行った場合であっても、月額利用料は、サブスクリプション購入代金に該当するため、支払済みの料金は、返金の対象とならない。ただし、第19条第2項に定める場合を除く。</w:t>
      </w:r>
    </w:p>
    <w:bookmarkEnd w:id="47"/>
    <w:bookmarkStart w:id="48" w:name="第24条過怠約款"/>
    <w:p>
      <w:pPr>
        <w:pStyle w:val="Heading3"/>
      </w:pPr>
      <w:r>
        <w:t xml:space="preserve">第24条（過怠約款）</w:t>
      </w:r>
    </w:p>
    <w:p>
      <w:pPr>
        <w:pStyle w:val="FirstParagraph"/>
      </w:pPr>
      <w:r>
        <w:t xml:space="preserve">1　甲及び乙の一方が次の各号のいずれかに該当する場合、相手方は、事前の催告を行うことなく、直ちに本契約の全部又は一部を解除し、本件サービスを停止することができる。</w:t>
      </w:r>
    </w:p>
    <w:p>
      <w:pPr>
        <w:pStyle w:val="BodyText"/>
      </w:pPr>
      <w:r>
        <w:t xml:space="preserve">　(1)　振り出した手形又は小切手が不渡りになったとき。</w:t>
      </w:r>
    </w:p>
    <w:p>
      <w:pPr>
        <w:pStyle w:val="BodyText"/>
      </w:pPr>
      <w:r>
        <w:t xml:space="preserve">　(2)　差押え、仮差押え、仮処分、競売、破産手続開始、民事再生手続開始、会社更生手続開始、特別清算開始その他これらに類する手続の申立てを受けたとき。</w:t>
      </w:r>
    </w:p>
    <w:p>
      <w:pPr>
        <w:pStyle w:val="BodyText"/>
      </w:pPr>
      <w:r>
        <w:t xml:space="preserve">　(3)　自ら破産手続開始、民事再生手続開始、会社更生手続開始その他これらに類する手続の申立てをしたとき、又は清算に入ったとき。</w:t>
      </w:r>
    </w:p>
    <w:p>
      <w:pPr>
        <w:pStyle w:val="BodyText"/>
      </w:pPr>
      <w:r>
        <w:t xml:space="preserve">　(4)　支払を停止したとき。</w:t>
      </w:r>
    </w:p>
    <w:p>
      <w:pPr>
        <w:pStyle w:val="BodyText"/>
      </w:pPr>
      <w:r>
        <w:t xml:space="preserve">　(5)　監督官庁から営業の許可取消処分又は停止処分を受けたとき。</w:t>
      </w:r>
    </w:p>
    <w:p>
      <w:pPr>
        <w:pStyle w:val="BodyText"/>
      </w:pPr>
      <w:r>
        <w:t xml:space="preserve">　(6)　債務の履行猶予の申出を行い、又は債権者集会の招集準備、主要資産の処分の準備その他債務の履行が困難と認められる事由が生じたとき。</w:t>
      </w:r>
    </w:p>
    <w:p>
      <w:pPr>
        <w:pStyle w:val="BodyText"/>
      </w:pPr>
      <w:r>
        <w:t xml:space="preserve">　(7)　本契約の申込みにおいて虚偽の事項を通知したことが判明したとき。</w:t>
      </w:r>
    </w:p>
    <w:p>
      <w:pPr>
        <w:pStyle w:val="BodyText"/>
      </w:pPr>
      <w:r>
        <w:t xml:space="preserve">　(8)　甲が本契約に違反し、乙から相当の期間を定めて是正するよう催告を受けたにもかかわらず、当該期間内に是正しないとき。</w:t>
      </w:r>
    </w:p>
    <w:p>
      <w:pPr>
        <w:pStyle w:val="BodyText"/>
      </w:pPr>
      <w:r>
        <w:t xml:space="preserve">2　甲が前項各号のいずれかに該当する場合、甲は、乙に対する全債務（手形債務を含む。）について期限の利益を当然に喪失し、直ちにその債務を履行しなければならない。乙が甲に対し債権を有し、一方で債務を負担している場合には、乙は、当該債権と債務とを対当額をもって相殺することができる。</w:t>
      </w:r>
    </w:p>
    <w:bookmarkEnd w:id="48"/>
    <w:bookmarkStart w:id="49" w:name="第25条反社会的勢力の排除"/>
    <w:p>
      <w:pPr>
        <w:pStyle w:val="Heading3"/>
      </w:pPr>
      <w:r>
        <w:t xml:space="preserve">第25条（反社会的勢力の排除）</w:t>
      </w:r>
    </w:p>
    <w:p>
      <w:pPr>
        <w:pStyle w:val="FirstParagraph"/>
      </w:pPr>
      <w:r>
        <w:t xml:space="preserve">1　甲及び乙は、それぞれ相手方に対し、自己又は自己の役員（取締役、執行役又はこれらに準ずる者であって実質的に経営権を有する者をいう。）が、暴力団、暴力団員、暴力団員でなくなった時から5年を経過しない者、暴力団準構成員、暴力団関係企業、総会屋等、社会運動等標ぼうゴロ、特殊知能暴力集団等その他これらに準ずる者（以下併せて「暴力団員等」という。）に該当しないこと、及び次の各号のいずれにも該当しないことを表明し、かつ、将来にわたっても該当しないことを確約する。</w:t>
      </w:r>
    </w:p>
    <w:p>
      <w:pPr>
        <w:pStyle w:val="BodyText"/>
      </w:pPr>
      <w:r>
        <w:t xml:space="preserve">　(1)　暴力団員等が経営を支配していると認められる関係を有すること</w:t>
      </w:r>
    </w:p>
    <w:p>
      <w:pPr>
        <w:pStyle w:val="BodyText"/>
      </w:pPr>
      <w:r>
        <w:t xml:space="preserve">　(2)　暴力団員等が経営に実質的に関与していると認められる関係を有すること</w:t>
      </w:r>
    </w:p>
    <w:p>
      <w:pPr>
        <w:pStyle w:val="BodyText"/>
      </w:pPr>
      <w:r>
        <w:t xml:space="preserve">　(3)　自己若しくは第三者の不正の利益を図る目的、又は第三者に損害を加える目的をもってするなど、不当に暴力団員等を利用していると認められる関係を有すること</w:t>
      </w:r>
    </w:p>
    <w:p>
      <w:pPr>
        <w:pStyle w:val="BodyText"/>
      </w:pPr>
      <w:r>
        <w:t xml:space="preserve">　(4)　暴力団員等に対して資金等を提供し、又は便宜を供与するなどの関与をしていると認められる関係を有すること</w:t>
      </w:r>
    </w:p>
    <w:p>
      <w:pPr>
        <w:pStyle w:val="BodyText"/>
      </w:pPr>
      <w:r>
        <w:t xml:space="preserve">　(5)　暴力団員等と社会的に非難されるべき関係を有すること</w:t>
      </w:r>
    </w:p>
    <w:p>
      <w:pPr>
        <w:pStyle w:val="BodyText"/>
      </w:pPr>
      <w:r>
        <w:t xml:space="preserve">2　甲及び乙は、相手方が前項の確約に違反したことが判明した場合、何らの催告をすることなく、本契約を解除することができる。</w:t>
      </w:r>
    </w:p>
    <w:p>
      <w:pPr>
        <w:pStyle w:val="BodyText"/>
      </w:pPr>
      <w:r>
        <w:t xml:space="preserve">3　甲及び乙は、前項の規定により本契約を解除した場合、相手方に損害が生じても、これを賠償又は補償することを要しない。また、かかる解除により自らに損害が生じたときは、相手方は、その損害を賠償するものとする。なお、賠償額は、甲乙協議して定める。</w:t>
      </w:r>
    </w:p>
    <w:bookmarkEnd w:id="49"/>
    <w:bookmarkStart w:id="50" w:name="第26条契約終了時の措置"/>
    <w:p>
      <w:pPr>
        <w:pStyle w:val="Heading3"/>
      </w:pPr>
      <w:r>
        <w:t xml:space="preserve">第26条（契約終了時の措置）</w:t>
      </w:r>
    </w:p>
    <w:p>
      <w:pPr>
        <w:pStyle w:val="FirstParagraph"/>
      </w:pPr>
      <w:r>
        <w:t xml:space="preserve">本契約が終了した時点で未払の本件サービス料金等その他の料金がある場合、甲は、直ちに当該料金等を支払うものとする。ただし、別途合意した場合は、この限りでない。</w:t>
      </w:r>
    </w:p>
    <w:bookmarkEnd w:id="50"/>
    <w:bookmarkEnd w:id="51"/>
    <w:bookmarkStart w:id="59" w:name="第6章-一般条項"/>
    <w:p>
      <w:pPr>
        <w:pStyle w:val="Heading2"/>
      </w:pPr>
      <w:r>
        <w:t xml:space="preserve">第6章　一般条項</w:t>
      </w:r>
    </w:p>
    <w:bookmarkStart w:id="52" w:name="第27条権利義務譲渡等の禁止"/>
    <w:p>
      <w:pPr>
        <w:pStyle w:val="Heading3"/>
      </w:pPr>
      <w:r>
        <w:t xml:space="preserve">第27条（権利義務譲渡等の禁止）</w:t>
      </w:r>
    </w:p>
    <w:p>
      <w:pPr>
        <w:pStyle w:val="FirstParagraph"/>
      </w:pPr>
      <w:r>
        <w:t xml:space="preserve">甲及び乙は、本契約に基づく権利の全部若しくは一部を第三者に譲渡し、担保に供し、若しくはその他の処分をし、又は債務の全部若しくは一部を第三者に履行させてはならない。ただし、第28条に定める場合を除く。</w:t>
      </w:r>
    </w:p>
    <w:bookmarkEnd w:id="52"/>
    <w:bookmarkStart w:id="53" w:name="第28条第三者への委託"/>
    <w:p>
      <w:pPr>
        <w:pStyle w:val="Heading3"/>
      </w:pPr>
      <w:r>
        <w:t xml:space="preserve">第28条（第三者への委託）</w:t>
      </w:r>
    </w:p>
    <w:p>
      <w:pPr>
        <w:pStyle w:val="FirstParagraph"/>
      </w:pPr>
      <w:r>
        <w:t xml:space="preserve">乙は、本契約の履行に必要な業務を、自らが本契約に基づき甲に対して負うのと同等の義務を課した第三者に委託することができる。ただし、乙は、これにより本契約上の甲に対する義務を免れることはできない。</w:t>
      </w:r>
    </w:p>
    <w:bookmarkEnd w:id="53"/>
    <w:bookmarkStart w:id="54" w:name="第29条第三者との紛争処理"/>
    <w:p>
      <w:pPr>
        <w:pStyle w:val="Heading3"/>
      </w:pPr>
      <w:r>
        <w:t xml:space="preserve">第29条（第三者との紛争処理）</w:t>
      </w:r>
    </w:p>
    <w:p>
      <w:pPr>
        <w:pStyle w:val="FirstParagraph"/>
      </w:pPr>
      <w:r>
        <w:t xml:space="preserve">1　甲が第三者から、甲の採用する製品に関して、当該第三者の著作権、ノウハウ等の知的財産権を侵害している旨の請求を受けた場合、甲は、自らの費用及び責任においてこれを解決するものとする。これにより乙に損害が生じた場合、甲は、直ちにその損害を賠償するものとする。</w:t>
      </w:r>
    </w:p>
    <w:p>
      <w:pPr>
        <w:pStyle w:val="BodyText"/>
      </w:pPr>
      <w:r>
        <w:t xml:space="preserve">2　本件サービスの利用に関して甲と第三者との間に紛争が生じた場合は、甲の責任及び負担において解決するものとし、乙は、一切の責任を負わない。ただし、当該紛争が乙の故意又は過失によるものである場合は、この限りでない。</w:t>
      </w:r>
    </w:p>
    <w:bookmarkEnd w:id="54"/>
    <w:bookmarkStart w:id="55" w:name="第30条存続条項"/>
    <w:p>
      <w:pPr>
        <w:pStyle w:val="Heading3"/>
      </w:pPr>
      <w:r>
        <w:t xml:space="preserve">第30条（存続条項）</w:t>
      </w:r>
    </w:p>
    <w:p>
      <w:pPr>
        <w:pStyle w:val="FirstParagraph"/>
      </w:pPr>
      <w:r>
        <w:t xml:space="preserve">本契約の終了後も、第10条、第22条、第26条、本条及び第32条の定めは、有効に存続するものとする。</w:t>
      </w:r>
    </w:p>
    <w:bookmarkEnd w:id="55"/>
    <w:bookmarkStart w:id="56" w:name="第31条法令等の遵守"/>
    <w:p>
      <w:pPr>
        <w:pStyle w:val="Heading3"/>
      </w:pPr>
      <w:r>
        <w:t xml:space="preserve">第31条（法令等の遵守）</w:t>
      </w:r>
    </w:p>
    <w:p>
      <w:pPr>
        <w:pStyle w:val="FirstParagraph"/>
      </w:pPr>
      <w:r>
        <w:t xml:space="preserve">甲及び乙は、本契約の履行に関し、法令等の定めを遵守するものとする。</w:t>
      </w:r>
    </w:p>
    <w:bookmarkEnd w:id="56"/>
    <w:bookmarkStart w:id="57" w:name="第32条管轄裁判所"/>
    <w:p>
      <w:pPr>
        <w:pStyle w:val="Heading3"/>
      </w:pPr>
      <w:r>
        <w:t xml:space="preserve">第32条（管轄裁判所）</w:t>
      </w:r>
    </w:p>
    <w:p>
      <w:pPr>
        <w:pStyle w:val="FirstParagraph"/>
      </w:pPr>
      <w:r>
        <w:t xml:space="preserve">本契約に関する一切の紛争については、被告の本店所在地を管轄する地方裁判所を専属的合意管轄裁判所とする。</w:t>
      </w:r>
    </w:p>
    <w:bookmarkEnd w:id="57"/>
    <w:bookmarkStart w:id="58" w:name="第33条協議"/>
    <w:p>
      <w:pPr>
        <w:pStyle w:val="Heading3"/>
      </w:pPr>
      <w:r>
        <w:t xml:space="preserve">第33条（協議）</w:t>
      </w:r>
    </w:p>
    <w:p>
      <w:pPr>
        <w:pStyle w:val="FirstParagraph"/>
      </w:pPr>
      <w:r>
        <w:t xml:space="preserve">本契約の履行について疑義を生じた場合及び本契約に定めのない事項については、甲乙双方で協議し、円満に解決を図るものとする。</w:t>
      </w:r>
    </w:p>
    <w:p>
      <w:pPr>
        <w:pStyle w:val="BodyText"/>
      </w:pPr>
      <w:r>
        <w:t xml:space="preserve">以　上</w:t>
      </w:r>
    </w:p>
    <w:p>
      <w:pPr>
        <w:pStyle w:val="BodyText"/>
      </w:pPr>
      <w:r>
        <w:t xml:space="preserve">本契約の締結を証するため、本書2通を作成し、甲乙記名押印の上、各1通を保有する。</w:t>
      </w:r>
    </w:p>
    <w:p>
      <w:pPr>
        <w:pStyle w:val="BodyText"/>
      </w:pPr>
      <w:r>
        <w:t xml:space="preserve">2026年10月23日</w:t>
      </w:r>
    </w:p>
    <w:p>
      <w:pPr>
        <w:pStyle w:val="BodyText"/>
      </w:pPr>
      <w:r>
        <w:rPr>
          <w:bCs/>
          <w:b/>
        </w:rPr>
        <w:t xml:space="preserve">甲</w:t>
      </w:r>
    </w:p>
    <w:p>
      <w:pPr>
        <w:pStyle w:val="BodyText"/>
      </w:pPr>
      <w:r>
        <w:t xml:space="preserve">　所在地：</w:t>
      </w:r>
    </w:p>
    <w:p>
      <w:pPr>
        <w:pStyle w:val="BodyText"/>
      </w:pPr>
      <w:r>
        <w:t xml:space="preserve">　名　称：積水樹脂株式会社</w:t>
      </w:r>
    </w:p>
    <w:p>
      <w:pPr>
        <w:pStyle w:val="BodyText"/>
      </w:pPr>
      <w:r>
        <w:t xml:space="preserve">　代表者：　　　　　　　　　　　　　　　　　　印</w:t>
      </w:r>
    </w:p>
    <w:p>
      <w:pPr>
        <w:pStyle w:val="BodyText"/>
      </w:pPr>
      <w:r>
        <w:rPr>
          <w:bCs/>
          <w:b/>
        </w:rPr>
        <w:t xml:space="preserve">乙</w:t>
      </w:r>
    </w:p>
    <w:p>
      <w:pPr>
        <w:pStyle w:val="BodyText"/>
      </w:pPr>
      <w:r>
        <w:t xml:space="preserve">　所在地：〒105-0011　東京都港区芝公園3丁目1-22　日本能率協会ビル6F</w:t>
      </w:r>
    </w:p>
    <w:p>
      <w:pPr>
        <w:pStyle w:val="BodyText"/>
      </w:pPr>
      <w:r>
        <w:t xml:space="preserve">　名　称：株式会社Archi Village</w:t>
      </w:r>
    </w:p>
    <w:p>
      <w:pPr>
        <w:pStyle w:val="BodyText"/>
      </w:pPr>
      <w:r>
        <w:t xml:space="preserve">　代表者：代表取締役　竹内　将高　　　　　　　　印</w:t>
      </w:r>
    </w:p>
    <w:bookmarkEnd w:id="58"/>
    <w:bookmarkEnd w:id="59"/>
    <w:bookmarkEnd w:id="60"/>
    <w:sectPr>
      <w:footerReference w:type="default" r:id="rId9"/>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2" w:lineRule="auto"/>
    </w:pPr>
    <w:rPr>
      <w:rFonts w:ascii="游明朝" w:hAnsi="游明朝" w:eastAsia="游明朝" w:cs="游明朝"/>
      <w:color w:val="000000"/>
      <w:sz w:val="21"/>
    </w:rPr>
  </w:style>
  <w:style w:styleId="BodyText" w:type="paragraph">
    <w:name w:val="Body Text"/>
    <w:basedOn w:val="Normal"/>
    <w:link w:val="BodyTextChar"/>
    <w:pPr>
      <w:spacing w:after="120" w:before="180" w:line="312" w:lineRule="auto"/>
    </w:pPr>
    <w:qFormat/>
    <w:rPr>
      <w:rFonts w:ascii="游明朝" w:hAnsi="游明朝" w:eastAsia="游明朝" w:cs="游明朝"/>
      <w:color w:val="000000"/>
      <w:sz w:val="21"/>
    </w:rPr>
  </w:style>
  <w:style w:customStyle="1" w:styleId="FirstParagraph" w:type="paragraph">
    <w:name w:val="First Paragraph"/>
    <w:basedOn w:val="BodyText"/>
    <w:next w:val="BodyText"/>
    <w:qFormat/>
    <w:pPr>
      <w:spacing w:after="120" w:line="312" w:lineRule="auto"/>
    </w:pPr>
    <w:rPr>
      <w:rFonts w:ascii="游明朝" w:hAnsi="游明朝" w:eastAsia="游明朝" w:cs="游明朝"/>
      <w:color w:val="000000"/>
      <w:sz w:val="21"/>
    </w:rPr>
  </w:style>
  <w:style w:customStyle="1" w:styleId="Compact" w:type="paragraph">
    <w:name w:val="Compact"/>
    <w:basedOn w:val="BodyText"/>
    <w:qFormat/>
    <w:pPr>
      <w:spacing w:after="120" w:before="36" w:line="312" w:lineRule="auto"/>
    </w:pPr>
    <w:rPr>
      <w:rFonts w:ascii="游明朝" w:hAnsi="游明朝" w:eastAsia="游明朝" w:cs="游明朝"/>
      <w:color w:val="000000"/>
      <w:sz w:val="21"/>
    </w:rPr>
  </w:style>
  <w:style w:styleId="Title" w:type="paragraph">
    <w:name w:val="Title"/>
    <w:basedOn w:val="Normal"/>
    <w:next w:val="BodyText"/>
    <w:qFormat/>
    <w:pPr>
      <w:spacing w:after="240" w:before="480"/>
      <w:jc w:val="center"/>
    </w:pPr>
    <w:rPr>
      <w:rFonts w:ascii="游明朝" w:hAnsi="游明朝" w:eastAsia="游明朝" w:cs="游明朝"/>
      <w:b/>
      <w:bCs/>
      <w:color w:val="000000"/>
      <w:sz w:val="32"/>
      <w:szCs w:val="36"/>
    </w:rPr>
  </w:style>
  <w:style w:styleId="Subtitle" w:type="paragraph">
    <w:name w:val="Subtitle"/>
    <w:basedOn w:val="Title"/>
    <w:next w:val="BodyText"/>
    <w:qFormat/>
    <w:pPr>
      <w:spacing w:after="240" w:before="240"/>
      <w:jc w:val="center"/>
    </w:pPr>
    <w:rPr>
      <w:rFonts w:ascii="游明朝" w:hAnsi="游明朝" w:eastAsia="游明朝" w:cs="游明朝"/>
      <w:color w:val="000000"/>
      <w:sz w:val="30"/>
      <w:szCs w:val="30"/>
    </w:rPr>
  </w:style>
  <w:style w:customStyle="1" w:styleId="Author" w:type="paragraph">
    <w:name w:val="Author"/>
    <w:next w:val="BodyText"/>
    <w:qFormat/>
    <w:pPr>
      <w:jc w:val="center"/>
    </w:pPr>
    <w:rPr>
      <w:rFonts w:ascii="游明朝" w:hAnsi="游明朝" w:eastAsia="游明朝" w:cs="游明朝"/>
      <w:color w:val="000000"/>
    </w:rPr>
  </w:style>
  <w:style w:styleId="Date" w:type="paragraph">
    <w:name w:val="Date"/>
    <w:next w:val="BodyText"/>
    <w:qFormat/>
    <w:pPr>
      <w:jc w:val="center"/>
    </w:pPr>
    <w:rPr>
      <w:rFonts w:ascii="游明朝" w:hAnsi="游明朝" w:eastAsia="游明朝" w:cs="游明朝"/>
      <w:color w:val="000000"/>
    </w:rPr>
  </w:style>
  <w:style w:customStyle="1" w:styleId="AbstractTitle" w:type="paragraph">
    <w:name w:val="Abstract Title"/>
    <w:basedOn w:val="Normal"/>
    <w:next w:val="Abstract"/>
    <w:qFormat/>
    <w:pPr>
      <w:jc w:val="center"/>
      <w:spacing w:after="0" w:before="300"/>
    </w:pPr>
    <w:rPr>
      <w:color w:val="000000"/>
      <w:sz w:val="20"/>
      <w:szCs w:val="20"/>
      <w:rFonts w:ascii="游明朝" w:hAnsi="游明朝" w:eastAsia="游明朝" w:cs="游明朝"/>
      <w:b/>
    </w:rPr>
  </w:style>
  <w:style w:customStyle="1" w:styleId="Abstract" w:type="paragraph">
    <w:name w:val="Abstract"/>
    <w:basedOn w:val="Normal"/>
    <w:next w:val="BodyText"/>
    <w:qFormat/>
    <w:pPr>
      <w:spacing w:after="300" w:before="100"/>
    </w:pPr>
    <w:rPr>
      <w:rFonts w:ascii="游明朝" w:hAnsi="游明朝" w:eastAsia="游明朝" w:cs="游明朝"/>
      <w:color w:val="000000"/>
      <w:sz w:val="20"/>
      <w:szCs w:val="20"/>
    </w:rPr>
  </w:style>
  <w:style w:styleId="Bibliography" w:type="paragraph">
    <w:name w:val="Bibliography"/>
    <w:basedOn w:val="Normal"/>
    <w:next w:val="Bibliography"/>
    <w:qFormat/>
    <w:pPr/>
    <w:rPr>
      <w:rFonts w:ascii="游明朝" w:hAnsi="游明朝" w:eastAsia="游明朝" w:cs="游明朝"/>
      <w:color w:val="000000"/>
    </w:rPr>
  </w:style>
  <w:style w:styleId="Heading1" w:type="paragraph">
    <w:name w:val="Heading 1"/>
    <w:basedOn w:val="Normal"/>
    <w:next w:val="BodyText"/>
    <w:uiPriority w:val="9"/>
    <w:qFormat/>
    <w:pPr>
      <w:spacing w:after="0" w:before="480"/>
      <w:outlineLvl w:val="0"/>
    </w:pPr>
    <w:rPr>
      <w:rFonts w:ascii="游明朝" w:hAnsi="游明朝" w:eastAsia="游明朝" w:cs="游明朝"/>
      <w:b/>
      <w:bCs/>
      <w:color w:val="000000"/>
      <w:sz w:val="32"/>
      <w:szCs w:val="32"/>
    </w:rPr>
  </w:style>
  <w:style w:styleId="Heading2" w:type="paragraph">
    <w:name w:val="Heading 2"/>
    <w:basedOn w:val="Normal"/>
    <w:next w:val="BodyText"/>
    <w:uiPriority w:val="9"/>
    <w:unhideWhenUsed/>
    <w:qFormat/>
    <w:pPr>
      <w:spacing w:after="120" w:before="280"/>
      <w:jc w:val="center"/>
      <w:outlineLvl w:val="1"/>
    </w:pPr>
    <w:rPr>
      <w:rFonts w:ascii="游明朝" w:hAnsi="游明朝" w:eastAsia="游明朝" w:cs="游明朝"/>
      <w:b/>
      <w:bCs/>
      <w:color w:val="000000"/>
      <w:sz w:val="26"/>
      <w:szCs w:val="28"/>
    </w:rPr>
  </w:style>
  <w:style w:styleId="Heading3" w:type="paragraph">
    <w:name w:val="Heading 3"/>
    <w:basedOn w:val="Normal"/>
    <w:next w:val="BodyText"/>
    <w:uiPriority w:val="9"/>
    <w:unhideWhenUsed/>
    <w:qFormat/>
    <w:pPr>
      <w:spacing w:after="120" w:before="280"/>
      <w:outlineLvl w:val="2"/>
    </w:pPr>
    <w:rPr>
      <w:rFonts w:ascii="游明朝" w:hAnsi="游明朝" w:eastAsia="游明朝" w:cs="游明朝"/>
      <w:b/>
      <w:bCs/>
      <w:color w:val="000000"/>
      <w:sz w:val="22"/>
      <w:szCs w:val="24"/>
    </w:rPr>
  </w:style>
  <w:style w:styleId="Heading4" w:type="paragraph">
    <w:name w:val="Heading 4"/>
    <w:basedOn w:val="Normal"/>
    <w:next w:val="BodyText"/>
    <w:uiPriority w:val="9"/>
    <w:unhideWhenUsed/>
    <w:qFormat/>
    <w:pPr>
      <w:spacing w:after="0" w:before="200"/>
      <w:outlineLvl w:val="3"/>
    </w:pPr>
    <w:rPr>
      <w:rFonts w:ascii="游明朝" w:hAnsi="游明朝" w:eastAsia="游明朝" w:cs="游明朝"/>
      <w:i/>
      <w:bCs/>
      <w:color w:val="000000"/>
      <w:sz w:val="24"/>
      <w:szCs w:val="24"/>
    </w:rPr>
  </w:style>
  <w:style w:styleId="Heading5" w:type="paragraph">
    <w:name w:val="Heading 5"/>
    <w:basedOn w:val="Normal"/>
    <w:next w:val="BodyText"/>
    <w:uiPriority w:val="9"/>
    <w:unhideWhenUsed/>
    <w:qFormat/>
    <w:pPr>
      <w:spacing w:after="0" w:before="200"/>
      <w:outlineLvl w:val="4"/>
    </w:pPr>
    <w:rPr>
      <w:rFonts w:ascii="游明朝" w:hAnsi="游明朝" w:eastAsia="游明朝" w:cs="游明朝"/>
      <w:iCs/>
      <w:color w:val="000000"/>
      <w:sz w:val="24"/>
      <w:szCs w:val="24"/>
    </w:rPr>
  </w:style>
  <w:style w:styleId="Heading6" w:type="paragraph">
    <w:name w:val="Heading 6"/>
    <w:basedOn w:val="Normal"/>
    <w:next w:val="BodyText"/>
    <w:uiPriority w:val="9"/>
    <w:unhideWhenUsed/>
    <w:qFormat/>
    <w:pPr>
      <w:spacing w:after="0" w:before="200"/>
      <w:outlineLvl w:val="5"/>
    </w:pPr>
    <w:rPr>
      <w:rFonts w:ascii="游明朝" w:hAnsi="游明朝" w:eastAsia="游明朝" w:cs="游明朝"/>
      <w:color w:val="000000"/>
      <w:sz w:val="24"/>
      <w:szCs w:val="24"/>
    </w:rPr>
  </w:style>
  <w:style w:styleId="Heading7" w:type="paragraph">
    <w:name w:val="Heading 7"/>
    <w:basedOn w:val="Normal"/>
    <w:next w:val="BodyText"/>
    <w:uiPriority w:val="9"/>
    <w:unhideWhenUsed/>
    <w:qFormat/>
    <w:pPr>
      <w:spacing w:after="0" w:before="200"/>
      <w:outlineLvl w:val="6"/>
    </w:pPr>
    <w:rPr>
      <w:rFonts w:ascii="游明朝" w:hAnsi="游明朝" w:eastAsia="游明朝" w:cs="游明朝"/>
      <w:color w:val="000000"/>
      <w:sz w:val="24"/>
      <w:szCs w:val="24"/>
    </w:rPr>
  </w:style>
  <w:style w:styleId="Heading8" w:type="paragraph">
    <w:name w:val="Heading 8"/>
    <w:basedOn w:val="Normal"/>
    <w:next w:val="BodyText"/>
    <w:uiPriority w:val="9"/>
    <w:unhideWhenUsed/>
    <w:qFormat/>
    <w:pPr>
      <w:spacing w:after="0" w:before="200"/>
      <w:outlineLvl w:val="7"/>
    </w:pPr>
    <w:rPr>
      <w:rFonts w:ascii="游明朝" w:hAnsi="游明朝" w:eastAsia="游明朝" w:cs="游明朝"/>
      <w:color w:val="000000"/>
      <w:sz w:val="24"/>
      <w:szCs w:val="24"/>
    </w:rPr>
  </w:style>
  <w:style w:styleId="Heading9" w:type="paragraph">
    <w:name w:val="Heading 9"/>
    <w:basedOn w:val="Normal"/>
    <w:next w:val="BodyText"/>
    <w:uiPriority w:val="9"/>
    <w:unhideWhenUsed/>
    <w:qFormat/>
    <w:pPr>
      <w:spacing w:after="0" w:before="200"/>
      <w:outlineLvl w:val="8"/>
    </w:pPr>
    <w:rPr>
      <w:rFonts w:ascii="游明朝" w:hAnsi="游明朝" w:eastAsia="游明朝" w:cs="游明朝"/>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游明朝" w:hAnsi="游明朝" w:eastAsia="游明朝" w:cs="游明朝"/>
      <w:color w:val="000000"/>
    </w:rPr>
  </w:style>
  <w:style w:styleId="FootnoteText" w:type="paragraph">
    <w:name w:val="Footnote Text"/>
    <w:basedOn w:val="Normal"/>
    <w:next w:val="FootnoteText"/>
    <w:uiPriority w:val="9"/>
    <w:unhideWhenUsed/>
    <w:qFormat/>
    <w:rPr>
      <w:rFonts w:ascii="游明朝" w:hAnsi="游明朝" w:eastAsia="游明朝" w:cs="游明朝"/>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Pr>
    </w:tblStylePr>
  </w:style>
  <w:style w:customStyle="1" w:styleId="DefinitionTerm" w:type="paragraph">
    <w:name w:val="Definition Term"/>
    <w:basedOn w:val="Normal"/>
    <w:next w:val="Definition"/>
    <w:pPr>
      <w:spacing w:after="0"/>
    </w:pPr>
    <w:rPr>
      <w:rFonts w:ascii="游明朝" w:hAnsi="游明朝" w:eastAsia="游明朝" w:cs="游明朝"/>
      <w:b/>
      <w:color w:val="000000"/>
    </w:rPr>
  </w:style>
  <w:style w:customStyle="1" w:styleId="Definition" w:type="paragraph">
    <w:name w:val="Definition"/>
    <w:basedOn w:val="Normal"/>
    <w:rPr>
      <w:rFonts w:ascii="游明朝" w:hAnsi="游明朝" w:eastAsia="游明朝" w:cs="游明朝"/>
      <w:color w:val="000000"/>
    </w:rPr>
  </w:style>
  <w:style w:styleId="Caption" w:type="paragraph">
    <w:name w:val="Caption"/>
    <w:basedOn w:val="Normal"/>
    <w:link w:val="BodyTextChar"/>
    <w:pPr>
      <w:spacing w:after="120" w:before="0"/>
    </w:pPr>
    <w:rPr>
      <w:rFonts w:ascii="游明朝" w:hAnsi="游明朝" w:eastAsia="游明朝" w:cs="游明朝"/>
      <w:i/>
      <w:color w:val="000000"/>
    </w:rPr>
  </w:style>
  <w:style w:customStyle="1" w:styleId="TableCaption" w:type="paragraph">
    <w:name w:val="Table Caption"/>
    <w:basedOn w:val="Caption"/>
    <w:pPr/>
    <w:rPr>
      <w:rFonts w:ascii="游明朝" w:hAnsi="游明朝" w:eastAsia="游明朝" w:cs="游明朝"/>
      <w:color w:val="000000"/>
    </w:rPr>
  </w:style>
  <w:style w:customStyle="1" w:styleId="ImageCaption" w:type="paragraph">
    <w:name w:val="Image Caption"/>
    <w:basedOn w:val="Caption"/>
    <w:rPr>
      <w:rFonts w:ascii="游明朝" w:hAnsi="游明朝" w:eastAsia="游明朝" w:cs="游明朝"/>
      <w:color w:val="000000"/>
    </w:rPr>
  </w:style>
  <w:style w:customStyle="1" w:styleId="Figure" w:type="paragraph">
    <w:name w:val="Figure"/>
    <w:basedOn w:val="Normal"/>
    <w:rPr>
      <w:rFonts w:ascii="游明朝" w:hAnsi="游明朝" w:eastAsia="游明朝" w:cs="游明朝"/>
      <w:color w:val="000000"/>
    </w:rPr>
  </w:style>
  <w:style w:customStyle="1" w:styleId="CaptionedFigure" w:type="paragraph">
    <w:name w:val="Captioned Figure"/>
    <w:basedOn w:val="Figure"/>
    <w:pPr/>
    <w:rPr>
      <w:rFonts w:ascii="游明朝" w:hAnsi="游明朝" w:eastAsia="游明朝" w:cs="游明朝"/>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游明朝" w:hAnsi="游明朝" w:eastAsia="游明朝" w:cs="游明朝"/>
      <w:b w:val="0"/>
      <w:bCs w:val="0"/>
      <w:color w:val="000000"/>
    </w:rPr>
  </w:style>
  <w:style w:type="paragraph" w:customStyle="1" w:styleId="SourceCode">
    <w:name w:val="Source Code"/>
    <w:basedOn w:val="Normal"/>
    <w:link w:val="VerbatimChar"/>
    <w:pPr>
      <w:wordWrap w:val="off"/>
    </w:pPr>
    <w:rPr>
      <w:rFonts w:ascii="游明朝" w:hAnsi="游明朝" w:eastAsia="游明朝" w:cs="游明朝"/>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hyperlink" Target="https://kenzai-search.jp"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1" Type="http://schemas.openxmlformats.org/officeDocument/2006/relationships/hyperlink" Target="https://kenzai-search.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2026-10-29T01:27:58Z</dcterms:created>
  <dcterms:modified xsi:type="dcterms:W3CDTF">2026-10-29T01:27:58Z</dcterms:modified>
</cp:coreProperties>
</file>

<file path=docProps/custom.xml><?xml version="1.0" encoding="utf-8"?>
<Properties xmlns="http://schemas.openxmlformats.org/officeDocument/2006/custom-properties" xmlns:vt="http://schemas.openxmlformats.org/officeDocument/2006/docPropsVTypes"/>
</file>