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Referee Report</w:t>
      </w:r>
    </w:p>
    <w:p>
      <w:pPr>
        <w:spacing w:after="200"/>
      </w:pPr>
      <w:r>
        <w:rPr>
          <w:color w:val="595959"/>
          <w:sz w:val="22"/>
          <w:szCs w:val="22"/>
        </w:rPr>
        <w:t xml:space="preserve">Information and Software Technology (Elsevier)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Manuscript</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i/>
                <w:iCs/>
              </w:rPr>
              <w:t xml:space="preserve">Temporal Maintenance of Vulnerability Detectors: Pre/Post-Fix and Clean-Specificity Evidence</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Type</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Research paper — empirical / methodological (introduces the MAINT-VD evaluation framework)</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Reviewer remit</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Originality, soundness, significance, replicability, presentation, and fit to journal scope</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Recommendation</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bCs/>
                <w:color w:val="1F4E79"/>
              </w:rPr>
              <w:t xml:space="preserve">Major revision</w:t>
            </w:r>
          </w:p>
        </w:tc>
      </w:tr>
    </w:tbl>
    <w:p>
      <w:pPr>
        <w:spacing w:after="120"/>
      </w:pPr>
    </w:p>
    <w:p>
      <w:pPr>
        <w:pStyle w:val="Heading1"/>
      </w:pPr>
      <w:r>
        <w:t xml:space="preserve">1. Summary of the submission</w:t>
      </w:r>
    </w:p>
    <w:p>
      <w:pPr>
        <w:spacing w:after="140" w:line="276"/>
      </w:pPr>
      <w:r>
        <w:rPr>
          <w:b w:val="false"/>
          <w:bCs w:val="false"/>
          <w:i w:val="false"/>
          <w:iCs w:val="false"/>
        </w:rPr>
        <w:t xml:space="preserve">The paper reframes the evaluation of learning-based vulnerability detectors from a static prediction problem into a software-maintenance problem. Its central thesis is precise and, in my view, correct: maintenance policies and decision-threshold rules are themselves part of detector behaviour under project and label-distribution shift, and temporal recall is meaningful only when reported alongside false-positive rate and clean-code specificity.</w:t>
      </w:r>
    </w:p>
    <w:p>
      <w:pPr>
        <w:spacing w:after="140" w:line="276"/>
      </w:pPr>
      <w:r>
        <w:rPr>
          <w:b w:val="false"/>
          <w:bCs w:val="false"/>
          <w:i w:val="false"/>
          <w:iCs w:val="false"/>
        </w:rPr>
        <w:t xml:space="preserve">To operationalise this, the authors propose MAINT-VD, a detector-agnostic evaluation framework built around four reusable checks — chronological aging, project-held-out temporal testing, independent-clean specificity, and operating-point sweeps — augmented with maintenance-policy comparison, rolling-origin drift analysis, and monitoring-trigger calibration. The framework is instantiated on three corpora: CVEfixes as the primary commit-dated pre/post-fix study, a recovered-date subset of DiverseVul as sensitivity evidence, and a commit-dated PrimeVul-paired subset as a smaller external check. Detector families span lightweight classical baselines (token TF-IDF, character 4-gram, code metrics, frozen random-indexing embeddings), frozen CodeBERT embeddings, a calibrated LineVul, and full-dataset CodeBERT/LineVul fine-tuning.</w:t>
      </w:r>
    </w:p>
    <w:p>
      <w:pPr>
        <w:spacing w:after="140" w:line="276"/>
      </w:pPr>
      <w:r>
        <w:t xml:space="preserve">The headline results are deliberately uncomfortable and, to the authors’ credit, honestly reported. On CVEfixes the character baseline attains mean future recall </w:t>
      </w:r>
      <w:r>
        <w:rPr>
          <w:b/>
          <w:bCs/>
        </w:rPr>
        <w:t xml:space="preserve">0.882</w:t>
      </w:r>
      <w:r>
        <w:t xml:space="preserve"> yet repository-clean specificity of only </w:t>
      </w:r>
      <w:r>
        <w:rPr>
          <w:b/>
          <w:bCs/>
        </w:rPr>
        <w:t xml:space="preserve">0.155</w:t>
      </w:r>
      <w:r>
        <w:t xml:space="preserve">; under unseen-project testing, refresh policies push recall above 0.97 but only at FPR ≈ 0.94; and no recovered-date DiverseVul policy satisfies the pre-declared C2 service level (recall ≥ 0.50 at FPR ≤ 0.30). The neural runs reinforce the lesson that a fixed-FPR threshold rule can collapse recall on an imbalanced split.</w:t>
      </w:r>
    </w:p>
    <w:p>
      <w:pPr>
        <w:pStyle w:val="Heading1"/>
      </w:pPr>
      <w:r>
        <w:t xml:space="preserve">2. Overall assessment and scores</w:t>
      </w:r>
    </w:p>
    <w:p>
      <w:pPr>
        <w:spacing w:after="140" w:line="276"/>
      </w:pPr>
      <w:r>
        <w:rPr>
          <w:b w:val="false"/>
          <w:bCs w:val="false"/>
          <w:i w:val="false"/>
          <w:iCs w:val="false"/>
        </w:rPr>
        <w:t xml:space="preserve">This is a careful, honest, and unusually reproducible empirical paper on a topic that genuinely matters for the deployment of ML-based security tooling. Its principal weaknesses are conceptual novelty (much of the framework is a disciplined assembly of existing best practice, as the authors themselves acknowledge), thin and largely diagnostic neural evidence, and limited statistical power behind two of the four research questions. The work is clearly publishable in principle, but in its current form the novelty positioning, detector coverage, and the weight placed on underpowered negative results need to be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Criterion</w:t>
            </w:r>
          </w:p>
        </w:tc>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Score /10</w:t>
            </w:r>
          </w:p>
        </w:tc>
        <w:tc>
          <w:tcPr>
            <w:tcW w:type="dxa" w:w="49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Basis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Originality / novelty</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5</w:t>
            </w:r>
          </w:p>
        </w:tc>
        <w:tc>
          <w:tcPr>
            <w:tcW w:type="dxa" w:w="4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Synthesis of largely known ideas (drift, FPR-aware evaluation, unseen-project splits, ML technical debt). One genuinely fresh empirical contribution: the independent-clean specificity gap.</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Significance / impact</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F4E79"/>
              </w:rPr>
              <w:t xml:space="preserve">7</w:t>
            </w:r>
          </w:p>
        </w:tc>
        <w:tc>
          <w:tcPr>
            <w:tcW w:type="dxa" w:w="49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Important, well-argued message for ML4SE security tooling; concrete, actionable deployment guidance.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Soundness / rigor</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7</w:t>
            </w:r>
          </w:p>
        </w:tc>
        <w:tc>
          <w:tcPr>
            <w:tcW w:type="dxa" w:w="4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Honest, careful protocol with falsifiable criteria, bootstrap CIs, Holm correction, leakage controls. Conclusions lean heavily on one classical baseline; RQ2/RQ4 underpowered.</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Replicability</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F4E79"/>
              </w:rPr>
              <w:t xml:space="preserve">9</w:t>
            </w:r>
          </w:p>
        </w:tc>
        <w:tc>
          <w:tcPr>
            <w:tcW w:type="dxa" w:w="49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Verified: headline numbers reproduce from released CSV artifacts. Public repo, manifest, Dockerfile.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Related work / scholarship</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5</w:t>
            </w:r>
          </w:p>
        </w:tc>
        <w:tc>
          <w:tcPr>
            <w:tcW w:type="dxa" w:w="4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Only 21 references; thin for a journal article. Limited head-to-head positioning; bibliography hygiene issues.</w:t>
            </w:r>
          </w:p>
        </w:tc>
      </w:tr>
      <w:tr>
        <w:tc>
          <w:tcPr>
            <w:tcW w:type="dxa" w:w="2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Presentation / clarity</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F4E79"/>
              </w:rPr>
              <w:t xml:space="preserve">7</w:t>
            </w:r>
          </w:p>
        </w:tc>
        <w:tc>
          <w:tcPr>
            <w:tcW w:type="dxa" w:w="49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Well-structured with helpful RQ summaries; Section 1 terminology-dense; several figures hide their y-axis scale.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Fit to IST scope</w:t>
            </w:r>
          </w:p>
        </w:tc>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8</w:t>
            </w:r>
          </w:p>
        </w:tc>
        <w:tc>
          <w:tcPr>
            <w:tcW w:type="dxa" w:w="4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Strong fit: empirical SE, ML system maintenance, evaluation methodology.</w:t>
            </w:r>
          </w:p>
        </w:tc>
      </w:tr>
      <w:tr>
        <w:tc>
          <w:tcPr>
            <w:tcW w:type="dxa" w:w="290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pPr>
            <w:r>
              <w:rPr>
                <w:b/>
                <w:bCs/>
                <w:color w:val="FFFFFF"/>
              </w:rPr>
              <w:t xml:space="preserve">OVERALL</w:t>
            </w:r>
          </w:p>
        </w:tc>
        <w:tc>
          <w:tcPr>
            <w:tcW w:type="dxa" w:w="150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jc w:val="center"/>
            </w:pPr>
            <w:r>
              <w:rPr>
                <w:b/>
                <w:bCs/>
                <w:color w:val="FFFFFF"/>
              </w:rPr>
              <w:t xml:space="preserve">6.5</w:t>
            </w:r>
          </w:p>
        </w:tc>
        <w:tc>
          <w:tcPr>
            <w:tcW w:type="dxa" w:w="496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pPr>
            <w:r>
              <w:rPr>
                <w:b/>
                <w:bCs/>
                <w:color w:val="FFFFFF"/>
              </w:rPr>
              <w:t xml:space="preserve">Recommendation: MAJOR REVISION</w:t>
            </w:r>
          </w:p>
        </w:tc>
      </w:tr>
    </w:tbl>
    <w:p>
      <w:pPr>
        <w:spacing w:after="60"/>
      </w:pPr>
    </w:p>
    <w:p>
      <w:pPr>
        <w:spacing w:after="140" w:line="276"/>
      </w:pPr>
      <w:r>
        <w:rPr>
          <w:b w:val="false"/>
          <w:bCs w:val="false"/>
          <w:i/>
          <w:iCs/>
          <w:color w:val="595959"/>
          <w:sz w:val="18"/>
          <w:szCs w:val="18"/>
        </w:rPr>
        <w:t xml:space="preserve">Scores are advisory and reflect a single reviewer’s judgement against typical IST expectations; the overall figure is a holistic assessment, not a strict average of the rows.</w:t>
      </w:r>
    </w:p>
    <w:p>
      <w:pPr>
        <w:pStyle w:val="Heading1"/>
      </w:pPr>
      <w:r>
        <w:t xml:space="preserve">3. Significance and fit to the journal</w:t>
      </w:r>
    </w:p>
    <w:p>
      <w:pPr>
        <w:spacing w:after="140" w:line="276"/>
      </w:pPr>
      <w:r>
        <w:rPr>
          <w:b w:val="false"/>
          <w:bCs w:val="false"/>
          <w:i w:val="false"/>
          <w:iCs w:val="false"/>
        </w:rPr>
        <w:t xml:space="preserve">The submission is squarely within IST’s scope: it is an empirical software-engineering study about how an ML-based development tool must be evaluated and maintained over its lifecycle. The framing connects naturally to established threads the paper cites — hidden technical debt in ML systems, concept-drift adaptation, data-quality threats in vulnerability datasets, and FPR-aware benchmarking. The practitioner-facing translation (operating-point reporting, independent-clean evaluation sets, project-held-out validation, label-cost accounting, and service-level trigger declaration) is concrete and would be useful to teams shipping such detectors. The clean-specificity result in particular is a contribution the community should see: it demonstrates empirically that fixed-code negatives do not establish behaviour on independently clean code.</w:t>
      </w:r>
    </w:p>
    <w:p>
      <w:pPr>
        <w:pStyle w:val="Heading1"/>
      </w:pPr>
      <w:r>
        <w:t xml:space="preserve">4. Strengths</w:t>
      </w:r>
    </w:p>
    <w:p>
      <w:pPr>
        <w:pStyle w:val="ListParagraph"/>
        <w:numPr>
          <w:ilvl w:val="0"/>
          <w:numId w:val="2"/>
        </w:numPr>
        <w:spacing w:after="90" w:line="270"/>
      </w:pPr>
      <w:r>
        <w:rPr>
          <w:b/>
          <w:bCs/>
        </w:rPr>
        <w:t xml:space="preserve">Important, well-posed thesis. </w:t>
      </w:r>
      <w:r>
        <w:t xml:space="preserve">Treating the detector as a maintained artifact (data + features + weights + threshold + monitoring + update schedule) is the right lens, and the paper states its claim narrowly enough to be defensible rather than over-reaching.</w:t>
      </w:r>
    </w:p>
    <w:p>
      <w:pPr>
        <w:pStyle w:val="ListParagraph"/>
        <w:numPr>
          <w:ilvl w:val="0"/>
          <w:numId w:val="2"/>
        </w:numPr>
        <w:spacing w:after="90" w:line="270"/>
      </w:pPr>
      <w:r>
        <w:rPr>
          <w:b/>
          <w:bCs/>
        </w:rPr>
        <w:t xml:space="preserve">Methodological honesty. </w:t>
      </w:r>
      <w:r>
        <w:t xml:space="preserve">Pre-declared, falsifiable decision criteria (C1, C2) that the results then fail; clear separation of pre/post-fix detection from arbitrary clean-code classification; explicit demotion of RQ4 to exploratory; and candid labelling of the neural runs as diagnostics. This intellectual discipline should be rewarded.</w:t>
      </w:r>
    </w:p>
    <w:p>
      <w:pPr>
        <w:pStyle w:val="ListParagraph"/>
        <w:numPr>
          <w:ilvl w:val="0"/>
          <w:numId w:val="2"/>
        </w:numPr>
        <w:spacing w:after="90" w:line="270"/>
      </w:pPr>
      <w:r>
        <w:rPr>
          <w:b/>
          <w:bCs/>
        </w:rPr>
        <w:t xml:space="preserve">Excellent reproducibility. </w:t>
      </w:r>
      <w:r>
        <w:t xml:space="preserve">I cross-checked the manuscript’s headline numbers against the released result files (see Section 6). Every figure I checked reproduces, often to four decimal places. A public repository, artifact manifest, and Dockerfile are provided.</w:t>
      </w:r>
    </w:p>
    <w:p>
      <w:pPr>
        <w:pStyle w:val="ListParagraph"/>
        <w:numPr>
          <w:ilvl w:val="0"/>
          <w:numId w:val="2"/>
        </w:numPr>
        <w:spacing w:after="90" w:line="270"/>
      </w:pPr>
      <w:r>
        <w:rPr>
          <w:b/>
          <w:bCs/>
        </w:rPr>
        <w:t xml:space="preserve">Appropriate statistical care for a small-sample regime. </w:t>
      </w:r>
      <w:r>
        <w:t xml:space="preserve">Bootstrap confidence intervals, rolling-origin replicates, permutation tests, Holm family-wise correction, and Fisher-z intervals are used, and associations are explicitly not interpreted as causal.</w:t>
      </w:r>
    </w:p>
    <w:p>
      <w:pPr>
        <w:pStyle w:val="ListParagraph"/>
        <w:numPr>
          <w:ilvl w:val="0"/>
          <w:numId w:val="2"/>
        </w:numPr>
        <w:spacing w:after="90" w:line="270"/>
      </w:pPr>
      <w:r>
        <w:rPr>
          <w:b/>
          <w:bCs/>
        </w:rPr>
        <w:t xml:space="preserve">Strong validity controls. </w:t>
      </w:r>
      <w:r>
        <w:t xml:space="preserve">Exact- and near-duplicate removal, commit/pair-group overlap audits, project-held-out splits, and an independent repository-clean benchmark constructed outside the vulnerability-fixing pipeline.</w:t>
      </w:r>
    </w:p>
    <w:p>
      <w:pPr>
        <w:pStyle w:val="ListParagraph"/>
        <w:numPr>
          <w:ilvl w:val="0"/>
          <w:numId w:val="2"/>
        </w:numPr>
        <w:spacing w:after="90" w:line="270"/>
      </w:pPr>
      <w:r>
        <w:rPr>
          <w:b/>
          <w:bCs/>
        </w:rPr>
        <w:t xml:space="preserve">Clear structure. </w:t>
      </w:r>
      <w:r>
        <w:t xml:space="preserve">The per-RQ summary boxes and the findings-summary table make a dense study navigable.</w:t>
      </w:r>
    </w:p>
    <w:p>
      <w:pPr>
        <w:pStyle w:val="Heading1"/>
      </w:pPr>
      <w:r>
        <w:t xml:space="preserve">5. Major comments (should be addressed before acceptance)</w:t>
      </w:r>
    </w:p>
    <w:p>
      <w:pPr>
        <w:pStyle w:val="ListParagraph"/>
        <w:numPr>
          <w:ilvl w:val="0"/>
          <w:numId w:val="3"/>
        </w:numPr>
        <w:spacing w:after="150" w:line="276"/>
      </w:pPr>
      <w:r>
        <w:rPr>
          <w:b/>
          <w:bCs/>
        </w:rPr>
        <w:t xml:space="preserve">Conceptual novelty must be sharpened. </w:t>
      </w:r>
      <w:r>
        <w:t xml:space="preserve">The individual ingredients — temporal/chronological evaluation, unseen-project splits, concept-drift monitoring, operating-point/FPR-aware reporting, and the “ML system as maintenance surface” view — are each established in the cited literature, and Section 3 concedes that “most steps instantiate standard empirical-SE practice.” The paper needs to argue more forcefully what is genuinely new. My read is that the defensible novelty is (a) the integration into a single named, reusable protocol with cost accounting, and (b) the independent-clean specificity evidence. I recommend foregrounding (b) as the empirical contribution and adding a short comparison table contrasting MAINT-VD’s scope against PrimeVul’s FPR-aware protocol and Croft et al.’s data-quality checks, so the delta from prior art is unambiguous.</w:t>
      </w:r>
    </w:p>
    <w:p>
      <w:pPr>
        <w:pStyle w:val="ListParagraph"/>
        <w:numPr>
          <w:ilvl w:val="0"/>
          <w:numId w:val="3"/>
        </w:numPr>
        <w:spacing w:after="150" w:line="276"/>
      </w:pPr>
      <w:r>
        <w:rPr>
          <w:b/>
          <w:bCs/>
        </w:rPr>
        <w:t xml:space="preserve">Detector coverage is narrow relative to the generality claimed. </w:t>
      </w:r>
      <w:r>
        <w:t xml:space="preserve">The conclusions rest substantially on a single character 4-gram logistic-regression baseline. The neural evidence is explicitly diagnostic, and several neural cells collapse to near-zero recall under a threshold rule the authors themselves call mis-specified. Citing CodeT5, UniXcoder, and graph-based detectors while evaluating none of them weakens a framework paper whose selling point is detector-agnosticism. At minimum, add one stronger or retuned neural configuration with a properly specified threshold policy (precision-floor or Youden-J as primary, not fixed-FPR), or temper the generality of the framework claims accordingly.</w:t>
      </w:r>
    </w:p>
    <w:p>
      <w:pPr>
        <w:pStyle w:val="ListParagraph"/>
        <w:numPr>
          <w:ilvl w:val="0"/>
          <w:numId w:val="3"/>
        </w:numPr>
        <w:spacing w:after="150" w:line="276"/>
      </w:pPr>
      <w:r>
        <w:rPr>
          <w:b/>
          <w:bCs/>
        </w:rPr>
        <w:t xml:space="preserve">The negative results carry more weight than the recovered-date DiverseVul subset can bear. </w:t>
      </w:r>
      <w:r>
        <w:t xml:space="preserve">Date recovery shrinks DiverseVul from 48,245 rows / 223 projects to 37,425 rows / 156 projects, with only 2,378 positives (≈ 6.4% prevalence) and roughly 20-25 test projects per held-out window. The C2 failure and the neural collapse may be partly artifacts of severe class imbalance and small project counts rather than fundamental limits. Please add an analysis isolating imbalance/scale effects (e.g., prevalence-matched or resampled controls) before presenting C2 as a robust negative finding.</w:t>
      </w:r>
    </w:p>
    <w:p>
      <w:pPr>
        <w:pStyle w:val="ListParagraph"/>
        <w:numPr>
          <w:ilvl w:val="0"/>
          <w:numId w:val="3"/>
        </w:numPr>
        <w:spacing w:after="150" w:line="276"/>
      </w:pPr>
      <w:r>
        <w:rPr>
          <w:b/>
          <w:bCs/>
        </w:rPr>
        <w:t xml:space="preserve">The operational meaning of the CVEfixes “stability” narrative needs qualification up front. </w:t>
      </w:r>
      <w:r>
        <w:t xml:space="preserve">CVEfixes recall is measured on a pre/post-fix task whose negatives are fixed versions of the same functions — a setup widely noted as easy and prone to leakage. The companion clean-specificity result (0.155) indicates the CVEfixes-trained models are close to unusable on real clean code. The paper is honest about this, but the temporal-aging analysis then describes the stability of a task of limited operational value. State this trade-off explicitly where the CVEfixes recall is first reported, not only in Threats to Validity.</w:t>
      </w:r>
    </w:p>
    <w:p>
      <w:pPr>
        <w:pStyle w:val="ListParagraph"/>
        <w:numPr>
          <w:ilvl w:val="0"/>
          <w:numId w:val="3"/>
        </w:numPr>
        <w:spacing w:after="150" w:line="276"/>
      </w:pPr>
      <w:r>
        <w:rPr>
          <w:b/>
          <w:bCs/>
        </w:rPr>
        <w:t xml:space="preserve">Statistical power behind RQ2 and RQ4 is thin. </w:t>
      </w:r>
      <w:r>
        <w:t xml:space="preserve">After Holm correction, exactly one drift signal survives on one dataset (CVEfixes project turnover, p=0.027); the DiverseVul signal does not survive (p=0.445), and RQ4 rests on a 3-of-4-window event pattern. As written, RQ2 and especially RQ4 deliver little. Consider either strengthening these (more rolling origins, an additional dataset) or explicitly reframing them as motivating/exploratory so the claims match the evidence.</w:t>
      </w:r>
    </w:p>
    <w:p>
      <w:pPr>
        <w:pStyle w:val="ListParagraph"/>
        <w:numPr>
          <w:ilvl w:val="0"/>
          <w:numId w:val="3"/>
        </w:numPr>
        <w:spacing w:after="150" w:line="276"/>
      </w:pPr>
      <w:r>
        <w:rPr>
          <w:b/>
          <w:bCs/>
        </w:rPr>
        <w:t xml:space="preserve">External validity of MAINT-VD is asserted more than demonstrated. </w:t>
      </w:r>
      <w:r>
        <w:t xml:space="preserve">The framework is shown on two-and-a-bit datasets, C/C++ and Python, and a narrow model set; the repository-clean benchmark is 2,500 functions from 39 groups and is not formally defect-free. A short discussion of where MAINT-VD would and would not transfer (other languages, repository-level detectors, LLM-based detectors) would make the “reusable scaffold” claim credible.</w:t>
      </w:r>
    </w:p>
    <w:p>
      <w:pPr>
        <w:pStyle w:val="Heading1"/>
      </w:pPr>
      <w:r>
        <w:t xml:space="preserve">6. Reproducibility verification (performed by the reviewer)</w:t>
      </w:r>
    </w:p>
    <w:p>
      <w:pPr>
        <w:spacing w:after="140" w:line="276"/>
      </w:pPr>
      <w:r>
        <w:rPr>
          <w:b w:val="false"/>
          <w:bCs w:val="false"/>
          <w:i w:val="false"/>
          <w:iCs w:val="false"/>
        </w:rPr>
        <w:t xml:space="preserve">Because the authors released their artifacts, I independently re-derived the principal numbers from the result files rather than taking the tables on trust. The checks below all passed, which materially raised my confidence in the empirical claims and is reflected in the replicability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900"/>
        <w:gridCol w:w="2300"/>
        <w:gridCol w:w="1800"/>
      </w:tblGrid>
      <w:tr>
        <w:trPr>
          <w:tblHeader/>
        </w:trPr>
        <w:tc>
          <w:tcPr>
            <w:tcW w:type="dxa" w:w="33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Headline claim</w:t>
            </w:r>
          </w:p>
        </w:tc>
        <w:tc>
          <w:tcPr>
            <w:tcW w:type="dxa" w:w="19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In manuscript</w:t>
            </w:r>
          </w:p>
        </w:tc>
        <w:tc>
          <w:tcPr>
            <w:tcW w:type="dxa" w:w="2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In artifact</w:t>
            </w:r>
          </w:p>
        </w:tc>
        <w:tc>
          <w:tcPr>
            <w:tcW w:type="dxa" w:w="18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Match</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CVEfixes char4 mean future recall</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0.882</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0.882-0.884</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CVEfixes char4 repo-clean specificity</w:t>
            </w:r>
          </w:p>
        </w:tc>
        <w:tc>
          <w:tcPr>
            <w:tcW w:type="dxa" w:w="1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0.155</w:t>
            </w:r>
          </w:p>
        </w:tc>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0.1552</w:t>
            </w:r>
          </w:p>
        </w:tc>
        <w:tc>
          <w:tcPr>
            <w:tcW w:type="dxa" w:w="18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Repo-clean specificity metrics/frozen/tfidf</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0.075/0.275/0.184</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0.075/0.275/0.184</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CVEfixes small-update (project held-out)</w:t>
            </w:r>
          </w:p>
        </w:tc>
        <w:tc>
          <w:tcPr>
            <w:tcW w:type="dxa" w:w="1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R 0.972 / FPR 0.945</w:t>
            </w:r>
          </w:p>
        </w:tc>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0.9717 / 0.9452</w:t>
            </w:r>
          </w:p>
        </w:tc>
        <w:tc>
          <w:tcPr>
            <w:tcW w:type="dxa" w:w="18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DiverseVul C2 best compliant policy</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R 0.430 @ FPR 0.290</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0.4303 / 0.2904</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Neural CodeBERT CVEfixes AUROC/AUPRC</w:t>
            </w:r>
          </w:p>
        </w:tc>
        <w:tc>
          <w:tcPr>
            <w:tcW w:type="dxa" w:w="1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0.737 / 0.682</w:t>
            </w:r>
          </w:p>
        </w:tc>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0.7366 / 0.6820</w:t>
            </w:r>
          </w:p>
        </w:tc>
        <w:tc>
          <w:tcPr>
            <w:tcW w:type="dxa" w:w="18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Neural CodeBERT DiverseVul AUROC/AUPRC</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0.724 / 0.149</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0.7244 / 0.1495</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Rolling-origin CVEfixes project turnover</w:t>
            </w:r>
          </w:p>
        </w:tc>
        <w:tc>
          <w:tcPr>
            <w:tcW w:type="dxa" w:w="1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r=-0.558, p=0.027</w:t>
            </w:r>
          </w:p>
        </w:tc>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-0.5580 / 0.0270</w:t>
            </w:r>
          </w:p>
        </w:tc>
        <w:tc>
          <w:tcPr>
            <w:tcW w:type="dxa" w:w="18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Rolling-origin DiverseVul CWE turnover</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r=0.422, p=0.445</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rPr>
              <w:t xml:space="preserve">0.4221 / 0.4453</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2E7D32"/>
              </w:rPr>
              <w:t xml:space="preserve">Yes</w:t>
            </w:r>
          </w:p>
        </w:tc>
      </w:tr>
      <w:tr>
        <w:tc>
          <w:tcPr>
            <w:tcW w:type="dxa" w:w="33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Dataset counts CVEfixes/DV/PrimeVul</w:t>
            </w:r>
          </w:p>
        </w:tc>
        <w:tc>
          <w:tcPr>
            <w:tcW w:type="dxa" w:w="19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19,791 / 37,425 / 1,267</w:t>
            </w:r>
          </w:p>
        </w:tc>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rPr>
              <w:t xml:space="preserve">19,791 / 37,425 / 1,267</w:t>
            </w:r>
          </w:p>
        </w:tc>
        <w:tc>
          <w:tcPr>
            <w:tcW w:type="dxa" w:w="18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2E7D32"/>
              </w:rPr>
              <w:t xml:space="preserve">Yes</w:t>
            </w:r>
          </w:p>
        </w:tc>
      </w:tr>
    </w:tbl>
    <w:p>
      <w:pPr>
        <w:spacing w:after="60"/>
      </w:pPr>
    </w:p>
    <w:p>
      <w:pPr>
        <w:spacing w:after="140" w:line="276"/>
      </w:pPr>
      <w:r>
        <w:rPr>
          <w:i/>
          <w:iCs/>
        </w:rPr>
        <w:t xml:space="preserve">Note: </w:t>
      </w:r>
      <w:r>
        <w:t xml:space="preserve">Table 3 reports CVEfixes char4 mean recall as 0.882 (near-duplicate-controlled run) while the fixed-origin and cutoff-sensitivity tables give 0.884 (uncontrolled run). Both are correct for their respective runs, but the manuscript should state per-table which run each value comes from to avoid the appearance of inconsistency.</w:t>
      </w:r>
    </w:p>
    <w:p>
      <w:pPr>
        <w:pStyle w:val="Heading1"/>
      </w:pPr>
      <w:r>
        <w:t xml:space="preserve">7. Minor and presentation comments</w:t>
      </w:r>
    </w:p>
    <w:p>
      <w:pPr>
        <w:pStyle w:val="ListParagraph"/>
        <w:numPr>
          <w:ilvl w:val="0"/>
          <w:numId w:val="4"/>
        </w:numPr>
        <w:spacing w:after="150" w:line="276"/>
      </w:pPr>
      <w:r>
        <w:rPr>
          <w:b/>
          <w:bCs/>
        </w:rPr>
        <w:t xml:space="preserve">References are thin (21 entries) </w:t>
      </w:r>
      <w:r>
        <w:t xml:space="preserve">for a journal article positioned partly as a methodological synthesis; 40-60 would be more typical. Add primary sources for drift-detection methods, calibration, and recent LLM-for-vulnerability-detection work.</w:t>
      </w:r>
    </w:p>
    <w:p>
      <w:pPr>
        <w:pStyle w:val="ListParagraph"/>
        <w:numPr>
          <w:ilvl w:val="0"/>
          <w:numId w:val="4"/>
        </w:numPr>
        <w:spacing w:after="150" w:line="276"/>
      </w:pPr>
      <w:r>
        <w:rPr>
          <w:b/>
          <w:bCs/>
        </w:rPr>
        <w:t xml:space="preserve">Bibliography hygiene. </w:t>
      </w:r>
      <w:r>
        <w:t xml:space="preserve">Several entries use “and others” for the author list (PrimeVul, ReposVul, ICVul); PrimeVul is cited only as an arXiv preprint; and the Vul4J entry has a LaTeX escaping bug (double backslash in the accented author name) that will render incorrectly.</w:t>
      </w:r>
    </w:p>
    <w:p>
      <w:pPr>
        <w:pStyle w:val="ListParagraph"/>
        <w:numPr>
          <w:ilvl w:val="0"/>
          <w:numId w:val="4"/>
        </w:numPr>
        <w:spacing w:after="150" w:line="276"/>
      </w:pPr>
      <w:r>
        <w:rPr>
          <w:b/>
          <w:bCs/>
        </w:rPr>
        <w:t xml:space="preserve">Abstract framing of the headline gain. </w:t>
      </w:r>
      <w:r>
        <w:t xml:space="preserve">Leading with “recall 0.972 at FPR 0.945” without the no-refresh baseline (0.935 at FPR 0.890) risks reading as a stronger result than it is. State the baseline alongside it.</w:t>
      </w:r>
    </w:p>
    <w:p>
      <w:pPr>
        <w:pStyle w:val="ListParagraph"/>
        <w:numPr>
          <w:ilvl w:val="0"/>
          <w:numId w:val="4"/>
        </w:numPr>
        <w:spacing w:after="150" w:line="276"/>
      </w:pPr>
      <w:r>
        <w:rPr>
          <w:b/>
          <w:bCs/>
        </w:rPr>
        <w:t xml:space="preserve">Figures hide their y-axis scale. </w:t>
      </w:r>
      <w:r>
        <w:t xml:space="preserve">Several plots use empty y-tick labels (validation AUPRC, recall, specificity), which makes them hard to read quantitatively. Restore numeric ticks.</w:t>
      </w:r>
    </w:p>
    <w:p>
      <w:pPr>
        <w:pStyle w:val="ListParagraph"/>
        <w:numPr>
          <w:ilvl w:val="0"/>
          <w:numId w:val="4"/>
        </w:numPr>
        <w:spacing w:after="150" w:line="276"/>
      </w:pPr>
      <w:r>
        <w:rPr>
          <w:b/>
          <w:bCs/>
        </w:rPr>
        <w:t xml:space="preserve">Section 1 is terminology-dense. </w:t>
      </w:r>
      <w:r>
        <w:t xml:space="preserve">Project shift, label-distribution shift, CWE shift, token/vocabulary shift, length/style shift, and operating point arrive in quick succession. Figure 1 helps; consider deferring the finer-grained shift definitions to Section 3.</w:t>
      </w:r>
    </w:p>
    <w:p>
      <w:pPr>
        <w:pStyle w:val="ListParagraph"/>
        <w:numPr>
          <w:ilvl w:val="0"/>
          <w:numId w:val="4"/>
        </w:numPr>
        <w:spacing w:after="150" w:line="276"/>
      </w:pPr>
      <w:r>
        <w:rPr>
          <w:b/>
          <w:bCs/>
        </w:rPr>
        <w:t xml:space="preserve">“Three instantiated evaluation cases” slightly oversells PrimeVul-paired </w:t>
      </w:r>
      <w:r>
        <w:t xml:space="preserve">(1,267 rows, 74 projects, largely diagnostic). Calling it a smaller external sensitivity check throughout would be more accurate.</w:t>
      </w:r>
    </w:p>
    <w:p>
      <w:pPr>
        <w:pStyle w:val="ListParagraph"/>
        <w:numPr>
          <w:ilvl w:val="0"/>
          <w:numId w:val="4"/>
        </w:numPr>
        <w:spacing w:after="150" w:line="276"/>
      </w:pPr>
      <w:r>
        <w:rPr>
          <w:b/>
          <w:bCs/>
        </w:rPr>
        <w:t xml:space="preserve">Repository-clean benchmark validity. </w:t>
      </w:r>
      <w:r>
        <w:t xml:space="preserve">The benchmark assumes harvested functions are clean but does not verify this. A sentence on residual label risk (some harvested functions could contain latent, unreported vulnerabilities) would strengthen Threats to Validity.</w:t>
      </w:r>
    </w:p>
    <w:p>
      <w:pPr>
        <w:pStyle w:val="ListParagraph"/>
        <w:numPr>
          <w:ilvl w:val="0"/>
          <w:numId w:val="4"/>
        </w:numPr>
        <w:spacing w:after="150" w:line="276"/>
      </w:pPr>
      <w:r>
        <w:rPr>
          <w:b/>
          <w:bCs/>
        </w:rPr>
        <w:t xml:space="preserve">Some Discussion content repeats Results. </w:t>
      </w:r>
      <w:r>
        <w:t xml:space="preserve">Section 6 restates several numbers already given in Section 5; tightening would improve readability.</w:t>
      </w:r>
    </w:p>
    <w:p>
      <w:pPr>
        <w:pStyle w:val="Heading1"/>
      </w:pPr>
      <w:r>
        <w:t xml:space="preserve">8. Recommendation to the editor</w:t>
      </w:r>
    </w:p>
    <w:p>
      <w:pPr>
        <w:spacing w:after="140" w:line="276"/>
      </w:pPr>
      <w:r>
        <w:rPr>
          <w:b/>
          <w:bCs/>
        </w:rPr>
        <w:t xml:space="preserve">Major revision. </w:t>
      </w:r>
      <w:r>
        <w:t xml:space="preserve">The paper is rigorous, honest, and exceptionally reproducible, and its core message — that temporal recall is uninterpretable without FPR and clean-specificity evidence, and that maintenance policy is an operating-point choice — is valuable and well-supported. What holds it back is conceptual novelty that is currently under-argued, a detector set too narrow and too diagnostic to carry the framework’s generality claims, and two research questions whose evidence is thinner than their prominence implies.</w:t>
      </w:r>
    </w:p>
    <w:p>
      <w:pPr>
        <w:spacing w:after="140" w:line="276"/>
      </w:pPr>
      <w:r>
        <w:rPr>
          <w:b w:val="false"/>
          <w:bCs w:val="false"/>
          <w:i w:val="false"/>
          <w:iCs w:val="false"/>
        </w:rPr>
        <w:t xml:space="preserve">A revision that (i) sharpens and tables the delta from PrimeVul / Croft et al., (ii) adds at least one properly-thresholded stronger neural configuration, (iii) controls for imbalance and scale before presenting C2 as a robust negative result, and (iv) right-sizes the RQ2/RQ4 claims to the available power would, in my assessment, be acceptable. None of these require new conceptual machinery — only additional experiments and clearer positioning — so the path to acceptance is realistic.</w:t>
      </w:r>
    </w:p>
    <w:p>
      <w:pPr>
        <w:spacing w:after="140" w:line="276"/>
      </w:pPr>
      <w:r>
        <w:rPr>
          <w:b w:val="false"/>
          <w:bCs w:val="false"/>
          <w:i/>
          <w:iCs/>
          <w:color w:val="595959"/>
        </w:rPr>
        <w:t xml:space="preserve">I would be glad to review a revised version.</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Confidential referee report — Information and Software Technology (Elsevier)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M%1."/>
      <w:lvlJc w:val="left"/>
      <w:pPr>
        <w:ind w:left="620" w:hanging="44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 Referee Report</dc:title>
  <dc:creator>Peer Review</dc:creator>
  <cp:lastModifiedBy>Un-named</cp:lastModifiedBy>
  <cp:revision>1</cp:revision>
  <dcterms:created xsi:type="dcterms:W3CDTF">2026-05-22T15:58:03.203Z</dcterms:created>
  <dcterms:modified xsi:type="dcterms:W3CDTF">2026-05-22T15:58:03.204Z</dcterms:modified>
</cp:coreProperties>
</file>

<file path=docProps/custom.xml><?xml version="1.0" encoding="utf-8"?>
<Properties xmlns="http://schemas.openxmlformats.org/officeDocument/2006/custom-properties" xmlns:vt="http://schemas.openxmlformats.org/officeDocument/2006/docPropsVTypes"/>
</file>