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Referee Report — Round 2</w:t>
      </w:r>
    </w:p>
    <w:p>
      <w:pPr>
        <w:spacing w:after="200"/>
      </w:pPr>
      <w:r>
        <w:rPr>
          <w:color w:val="595959"/>
          <w:sz w:val="22"/>
          <w:szCs w:val="22"/>
        </w:rPr>
        <w:t xml:space="preserve">Information and Software Technology (Elsevier) · Review of revised manuscript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Manuscript</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i/>
                <w:iCs/>
              </w:rPr>
              <w:t xml:space="preserve">Temporal Maintenance of Vulnerability Detectors: Pre/Post-Fix and Clean-Specificity Evidence</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Stage</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Second-round review of the revised submission (introduces the MAINT-VD framework)</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Prior decision</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Major revision (overall 6.5/10)</w:t>
            </w:r>
          </w:p>
        </w:tc>
      </w:tr>
      <w:tr>
        <w:tc>
          <w:tcPr>
            <w:tcW w:type="dxa" w:w="2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This round</w:t>
            </w:r>
          </w:p>
        </w:tc>
        <w:tc>
          <w:tcPr>
            <w:tcW w:type="dxa" w:w="7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bCs/>
                <w:color w:val="1F4E79"/>
              </w:rPr>
              <w:t xml:space="preserve">Minor revision</w:t>
            </w:r>
            <w:r>
              <w:t xml:space="preserve">  (overall 7.0/10)</w:t>
            </w:r>
          </w:p>
        </w:tc>
      </w:tr>
    </w:tbl>
    <w:p>
      <w:pPr>
        <w:spacing w:after="120"/>
      </w:pPr>
    </w:p>
    <w:p>
      <w:pPr>
        <w:pStyle w:val="Heading1"/>
      </w:pPr>
      <w:r>
        <w:t xml:space="preserve">1. Assessment of the revision</w:t>
      </w:r>
    </w:p>
    <w:p>
      <w:pPr>
        <w:spacing w:after="140" w:line="276"/>
      </w:pPr>
      <w:r>
        <w:rPr>
          <w:b w:val="false"/>
          <w:bCs w:val="false"/>
          <w:i w:val="false"/>
          <w:iCs w:val="false"/>
        </w:rPr>
        <w:t xml:space="preserve">I thank the authors for a careful and responsive revision. The changes meaningfully improve the paper on the three axes a reader most depends on: scholarly positioning, structural clarity, and interpretive honesty. The related-work section now situates the maintenance framing within the empirical-SE tradition it belongs to — cross-project, online, and just-in-time defect prediction, longitudinal calibration drift, concept-drift adaptation, and operational static-analysis-deployment studies — which substantially answers my main concern that the contribution was under-positioned. The diagnostic material (PrimeVul-paired, the cross-dataset probe, the small-update budget sweep, and the PrimeVul neural rerun) has been moved into a Supplementary Appendix, leaving a tighter main argument. Several local additions — promoting the C1/C2 service-level criteria to their own pre-results subsection, explicitly labelling the all-positive LineVul operating point as pathological, justifying the near-duplicate thresholds, and adding a clean-negative-retraining threat — show genuine engagement with the previous comments.</w:t>
      </w:r>
    </w:p>
    <w:p>
      <w:pPr>
        <w:spacing w:after="140" w:line="276"/>
      </w:pPr>
      <w:r>
        <w:rPr>
          <w:b w:val="false"/>
          <w:bCs w:val="false"/>
          <w:i w:val="false"/>
          <w:iCs w:val="false"/>
        </w:rPr>
        <w:t xml:space="preserve">The empirical backbone is unchanged: the conclusions still rest principally on the character 4-gram baseline plus diagnostic CodeBERT/LineVul runs, and the recovered-date DiverseVul negative result (C2) is still presented without an imbalance/scale control. These were among my round-1 major comments and were answered by additional framing and acknowledgement rather than new experiments. That is a defensible choice for a framework/methodology paper that is candid about its scope, and it does not block publication — but it does cap how far the originality and soundness scores can move, and it leaves one residual concern (M3) that I would still like the editor to weigh.</w:t>
      </w:r>
    </w:p>
    <w:p>
      <w:pPr>
        <w:pStyle w:val="Heading1"/>
      </w:pPr>
      <w:r>
        <w:t xml:space="preserve">2. Updated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50"/>
        <w:gridCol w:w="1050"/>
        <w:gridCol w:w="4560"/>
      </w:tblGrid>
      <w:tr>
        <w:trPr>
          <w:tblHeader/>
        </w:trPr>
        <w:tc>
          <w:tcPr>
            <w:tcW w:type="dxa" w:w="2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Criterion</w:t>
            </w:r>
          </w:p>
        </w:tc>
        <w:tc>
          <w:tcPr>
            <w:tcW w:type="dxa" w:w="10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R1</w:t>
            </w:r>
          </w:p>
        </w:tc>
        <w:tc>
          <w:tcPr>
            <w:tcW w:type="dxa" w:w="105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R2</w:t>
            </w:r>
          </w:p>
        </w:tc>
        <w:tc>
          <w:tcPr>
            <w:tcW w:type="dxa" w:w="45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Why it moved</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Originality / novelty</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color w:val="595959"/>
              </w:rPr>
              <w:t xml:space="preserve">5</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6</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Positioning sharpened against cross-project / JIT defect-prediction and static-analysis-deployment literature; the synthesis nature remains, but the contribution is now better located.</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Significance / impact</w:t>
            </w:r>
          </w:p>
        </w:tc>
        <w:tc>
          <w:tcPr>
            <w:tcW w:type="dxa" w:w="105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color w:val="595959"/>
              </w:rPr>
              <w:t xml:space="preserve">7</w:t>
            </w:r>
          </w:p>
        </w:tc>
        <w:tc>
          <w:tcPr>
            <w:tcW w:type="dxa" w:w="105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F4E79"/>
              </w:rPr>
              <w:t xml:space="preserve">7</w:t>
            </w:r>
          </w:p>
        </w:tc>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Unchanged — the core message and practical guidance were already strong.</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Soundness / rigor</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color w:val="595959"/>
              </w:rPr>
              <w:t xml:space="preserve">7</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7.5</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C1/C2 promoted to a pre-results subsection; pathological all-positive row flagged; clean-negative-retraining threat added; near-duplicate thresholds justified.</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Replicability</w:t>
            </w:r>
          </w:p>
        </w:tc>
        <w:tc>
          <w:tcPr>
            <w:tcW w:type="dxa" w:w="105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color w:val="595959"/>
              </w:rPr>
              <w:t xml:space="preserve">9</w:t>
            </w:r>
          </w:p>
        </w:tc>
        <w:tc>
          <w:tcPr>
            <w:tcW w:type="dxa" w:w="105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F4E79"/>
              </w:rPr>
              <w:t xml:space="preserve">9</w:t>
            </w:r>
          </w:p>
        </w:tc>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Still excellent; table numbers unchanged and remain consistent with the released artifacts.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Related work / scholarship</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color w:val="595959"/>
              </w:rPr>
              <w:t xml:space="preserve">5</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7.5</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References 21 to 31; strong empirical-SE integration; PrimeVul/ReposVul/ICVul author lists and PrimeVul title corrected.</w:t>
            </w:r>
          </w:p>
        </w:tc>
      </w:tr>
      <w:tr>
        <w:tc>
          <w:tcPr>
            <w:tcW w:type="dxa" w:w="2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rPr>
              <w:t xml:space="preserve">Presentation / clarity</w:t>
            </w:r>
          </w:p>
        </w:tc>
        <w:tc>
          <w:tcPr>
            <w:tcW w:type="dxa" w:w="105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val="false"/>
                <w:bCs w:val="false"/>
                <w:color w:val="595959"/>
              </w:rPr>
              <w:t xml:space="preserve">7</w:t>
            </w:r>
          </w:p>
        </w:tc>
        <w:tc>
          <w:tcPr>
            <w:tcW w:type="dxa" w:w="105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F4E79"/>
              </w:rPr>
              <w:t xml:space="preserve">7.5</w:t>
            </w:r>
          </w:p>
        </w:tc>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Diagnostics moved to a Supplementary Appendix; formal Definitions 1-4; explanatory notes under tables. Figures still hide y-axis ticks.</w:t>
            </w:r>
          </w:p>
        </w:tc>
      </w:tr>
      <w:tr>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rPr>
              <w:t xml:space="preserve">Fit to IST scope</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val="false"/>
                <w:bCs w:val="false"/>
                <w:color w:val="595959"/>
              </w:rPr>
              <w:t xml:space="preserve">8</w:t>
            </w:r>
          </w:p>
        </w:tc>
        <w:tc>
          <w:tcPr>
            <w:tcW w:type="dxa" w:w="105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color w:val="1F4E79"/>
              </w:rPr>
              <w:t xml:space="preserve">8</w:t>
            </w:r>
          </w:p>
        </w:tc>
        <w:tc>
          <w:tcPr>
            <w:tcW w:type="dxa" w:w="4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Unchanged — strong fit.</w:t>
            </w:r>
          </w:p>
        </w:tc>
      </w:tr>
      <w:tr>
        <w:tc>
          <w:tcPr>
            <w:tcW w:type="dxa" w:w="270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pPr>
            <w:r>
              <w:rPr>
                <w:b/>
                <w:bCs/>
                <w:color w:val="FFFFFF"/>
              </w:rPr>
              <w:t xml:space="preserve">OVERALL</w:t>
            </w:r>
          </w:p>
        </w:tc>
        <w:tc>
          <w:tcPr>
            <w:tcW w:type="dxa" w:w="105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jc w:val="center"/>
            </w:pPr>
            <w:r>
              <w:rPr>
                <w:b/>
                <w:bCs/>
                <w:color w:val="FFFFFF"/>
              </w:rPr>
              <w:t xml:space="preserve">6.5</w:t>
            </w:r>
          </w:p>
        </w:tc>
        <w:tc>
          <w:tcPr>
            <w:tcW w:type="dxa" w:w="105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jc w:val="center"/>
            </w:pPr>
            <w:r>
              <w:rPr>
                <w:b/>
                <w:bCs/>
                <w:color w:val="FFFFFF"/>
              </w:rPr>
              <w:t xml:space="preserve">7.0</w:t>
            </w:r>
          </w:p>
        </w:tc>
        <w:tc>
          <w:tcPr>
            <w:tcW w:type="dxa" w:w="4560"/>
            <w:tcBorders>
              <w:top w:val="single" w:color="BFBFBF" w:sz="1"/>
              <w:left w:val="single" w:color="BFBFBF" w:sz="1"/>
              <w:bottom w:val="single" w:color="BFBFBF" w:sz="1"/>
              <w:right w:val="single" w:color="BFBFBF" w:sz="1"/>
            </w:tcBorders>
            <w:shd w:fill="2E75B6" w:val="clear"/>
            <w:tcMar>
              <w:top w:type="dxa" w:w="70"/>
              <w:left w:type="dxa" w:w="110"/>
              <w:bottom w:type="dxa" w:w="70"/>
              <w:right w:type="dxa" w:w="110"/>
            </w:tcMar>
          </w:tcPr>
          <w:p>
            <w:pPr>
              <w:spacing w:after="0" w:line="264"/>
            </w:pPr>
            <w:r>
              <w:rPr>
                <w:b/>
                <w:bCs/>
                <w:color w:val="FFFFFF"/>
              </w:rPr>
              <w:t xml:space="preserve">Major revision  →  Minor revision</w:t>
            </w:r>
          </w:p>
        </w:tc>
      </w:tr>
    </w:tbl>
    <w:p>
      <w:pPr>
        <w:spacing w:after="60"/>
      </w:pPr>
    </w:p>
    <w:p>
      <w:pPr>
        <w:spacing w:after="140" w:line="276"/>
      </w:pPr>
      <w:r>
        <w:rPr>
          <w:b w:val="false"/>
          <w:bCs w:val="false"/>
          <w:i/>
          <w:iCs/>
          <w:color w:val="595959"/>
          <w:sz w:val="18"/>
          <w:szCs w:val="18"/>
        </w:rPr>
        <w:t xml:space="preserve">R1 = round-1 score, R2 = this round. Scores are advisory; the overall figure is holistic, not a strict average.</w:t>
      </w:r>
    </w:p>
    <w:p>
      <w:pPr>
        <w:pStyle w:val="Heading1"/>
      </w:pPr>
      <w:r>
        <w:t xml:space="preserve">3. Disposition of round-1 major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3400"/>
      </w:tblGrid>
      <w:tr>
        <w:trPr>
          <w:tblHeader/>
        </w:trPr>
        <w:tc>
          <w:tcPr>
            <w:tcW w:type="dxa" w:w="7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w:t>
            </w:r>
          </w:p>
        </w:tc>
        <w:tc>
          <w:tcPr>
            <w:tcW w:type="dxa" w:w="52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Round-1 major comment</w:t>
            </w:r>
          </w:p>
        </w:tc>
        <w:tc>
          <w:tcPr>
            <w:tcW w:type="dxa" w:w="34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Disposition in revision</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rPr>
              <w:t xml:space="preserve">M1</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Sharpen conceptual novelty; add explicit comparison vs PrimeVul / Croft et al.</w:t>
            </w:r>
          </w:p>
        </w:tc>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color w:val="1E7A33"/>
              </w:rPr>
              <w:t xml:space="preserve">Mostly addressed. </w:t>
            </w:r>
            <w:r>
              <w:t xml:space="preserve">Related work now integrates cross-project, online and JIT defect-prediction, drift, and static-analysis-deployment work. No head-to-head comparison table, and the Positioning subsection is unchanged.</w:t>
            </w:r>
          </w:p>
        </w:tc>
      </w:tr>
      <w:tr>
        <w:tc>
          <w:tcPr>
            <w:tcW w:type="dxa" w:w="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rPr>
              <w:t xml:space="preserve">M2</w:t>
            </w:r>
          </w:p>
        </w:tc>
        <w:tc>
          <w:tcPr>
            <w:tcW w:type="dxa" w:w="52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Broaden detector coverage / add a properly-thresholded stronger neural run as a primary result.</w:t>
            </w:r>
          </w:p>
        </w:tc>
        <w:tc>
          <w:tcPr>
            <w:tcW w:type="dxa" w:w="34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color w:val="9A6A00"/>
              </w:rPr>
              <w:t xml:space="preserve">Partially addressed. </w:t>
            </w:r>
            <w:r>
              <w:t xml:space="preserve">Operating-point table is now the primary neural result and the pathological all-positive point is flagged, but no CodeT5/UniXcoder/graph model was added; neural evidence is still diagnostic and CodeBERT/LineVul-only.</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rPr>
              <w:t xml:space="preserve">M3</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Control for class imbalance / scale before presenting the DiverseVul C2 failure as a robust negative result.</w:t>
            </w:r>
          </w:p>
        </w:tc>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color w:val="A33A2A"/>
              </w:rPr>
              <w:t xml:space="preserve">Not substantively addressed. </w:t>
            </w:r>
            <w:r>
              <w:t xml:space="preserve">Imbalance is acknowledged more explicitly and tied to the drift literature, but no prevalence-matched or resampled control experiment was run. C2 still carries weight without an imbalance ablation.</w:t>
            </w:r>
          </w:p>
        </w:tc>
      </w:tr>
      <w:tr>
        <w:tc>
          <w:tcPr>
            <w:tcW w:type="dxa" w:w="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rPr>
              <w:t xml:space="preserve">M4</w:t>
            </w:r>
          </w:p>
        </w:tc>
        <w:tc>
          <w:tcPr>
            <w:tcW w:type="dxa" w:w="52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State the pre/post-fix-task caveat where CVEfixes recall is first reported, not only in Threats.</w:t>
            </w:r>
          </w:p>
        </w:tc>
        <w:tc>
          <w:tcPr>
            <w:tcW w:type="dxa" w:w="34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color w:val="1E7A33"/>
              </w:rPr>
              <w:t xml:space="preserve">Fully addressed. </w:t>
            </w:r>
            <w:r>
              <w:t xml:space="preserve">The caveat now appears at first reporting in RQ1 and again in the aging-table note.</w:t>
            </w:r>
          </w:p>
        </w:tc>
      </w:tr>
      <w:tr>
        <w:tc>
          <w:tcPr>
            <w:tcW w:type="dxa" w:w="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jc w:val="center"/>
            </w:pPr>
            <w:r>
              <w:rPr>
                <w:b/>
                <w:bCs/>
              </w:rPr>
              <w:t xml:space="preserve">M5</w:t>
            </w:r>
          </w:p>
        </w:tc>
        <w:tc>
          <w:tcPr>
            <w:tcW w:type="dxa" w:w="5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val="false"/>
                <w:bCs w:val="false"/>
              </w:rPr>
              <w:t xml:space="preserve">Right-size or strengthen the under-powered RQ2 and RQ4.</w:t>
            </w:r>
          </w:p>
        </w:tc>
        <w:tc>
          <w:tcPr>
            <w:tcW w:type="dxa" w:w="34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64"/>
            </w:pPr>
            <w:r>
              <w:rPr>
                <w:b/>
                <w:bCs/>
                <w:color w:val="9A6A00"/>
              </w:rPr>
              <w:t xml:space="preserve">Addressed by framing. </w:t>
            </w:r>
            <w:r>
              <w:t xml:space="preserve">RQ4 remains explicitly exploratory and RQ2 descriptive; no additional origins or datasets were added to raise power. Honest, but unchanged in substance.</w:t>
            </w:r>
          </w:p>
        </w:tc>
      </w:tr>
      <w:tr>
        <w:tc>
          <w:tcPr>
            <w:tcW w:type="dxa" w:w="7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rPr>
              <w:t xml:space="preserve">M6</w:t>
            </w:r>
          </w:p>
        </w:tc>
        <w:tc>
          <w:tcPr>
            <w:tcW w:type="dxa" w:w="52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Demonstrate rather than assert MAINT-VD's external validity / transferability.</w:t>
            </w:r>
          </w:p>
        </w:tc>
        <w:tc>
          <w:tcPr>
            <w:tcW w:type="dxa" w:w="34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bCs/>
                <w:color w:val="9A6A00"/>
              </w:rPr>
              <w:t xml:space="preserve">Partially addressed. </w:t>
            </w:r>
            <w:r>
              <w:t xml:space="preserve">Transfer pressure is now connected to the defect-prediction literature and future-work scope, but there is still no dedicated where-it-does/doesn't-transfer analysis.</w:t>
            </w:r>
          </w:p>
        </w:tc>
      </w:tr>
    </w:tbl>
    <w:p>
      <w:pPr>
        <w:pStyle w:val="Heading1"/>
      </w:pPr>
      <w:r>
        <w:t xml:space="preserve">4. Disposition of round-1 minor comments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3300"/>
      </w:tblGrid>
      <w:tr>
        <w:trPr>
          <w:tblHeader/>
        </w:trPr>
        <w:tc>
          <w:tcPr>
            <w:tcW w:type="dxa" w:w="456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Round-1 minor comment</w:t>
            </w:r>
          </w:p>
        </w:tc>
        <w:tc>
          <w:tcPr>
            <w:tcW w:type="dxa" w:w="15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jc w:val="center"/>
            </w:pPr>
            <w:r>
              <w:rPr>
                <w:b/>
                <w:bCs/>
                <w:color w:val="FFFFFF"/>
              </w:rPr>
              <w:t xml:space="preserve">Status</w:t>
            </w:r>
          </w:p>
        </w:tc>
        <w:tc>
          <w:tcPr>
            <w:tcW w:type="dxa" w:w="3300"/>
            <w:tcBorders>
              <w:top w:val="single" w:color="BFBFBF" w:sz="1"/>
              <w:left w:val="single" w:color="BFBFBF" w:sz="1"/>
              <w:bottom w:val="single" w:color="BFBFBF" w:sz="1"/>
              <w:right w:val="single" w:color="BFBFBF" w:sz="1"/>
            </w:tcBorders>
            <w:shd w:fill="1F4E79" w:val="clear"/>
            <w:tcMar>
              <w:top w:type="dxa" w:w="70"/>
              <w:left w:type="dxa" w:w="110"/>
              <w:bottom w:type="dxa" w:w="70"/>
              <w:right w:type="dxa" w:w="110"/>
            </w:tcMar>
          </w:tcPr>
          <w:p>
            <w:pPr>
              <w:spacing w:after="0" w:line="264"/>
            </w:pPr>
            <w:r>
              <w:rPr>
                <w:b/>
                <w:bCs/>
                <w:color w:val="FFFFFF"/>
              </w:rPr>
              <w:t xml:space="preserve">Note</w:t>
            </w:r>
          </w:p>
        </w:tc>
      </w:tr>
      <w:tr>
        <w:tc>
          <w:tcPr>
            <w:tcW w:type="dxa" w:w="4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Thin references (21)</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jc w:val="center"/>
            </w:pPr>
            <w:r>
              <w:rPr>
                <w:b/>
                <w:bCs/>
                <w:color w:val="1E7A33"/>
              </w:rPr>
              <w:t xml:space="preserve">Fixed</w:t>
            </w:r>
          </w:p>
        </w:tc>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Now 31, with strong SE additions.</w:t>
            </w:r>
          </w:p>
        </w:tc>
      </w:tr>
      <w:tr>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Bibliography “and others” author lists</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E7A33"/>
              </w:rPr>
              <w:t xml:space="preserve">Fixed</w:t>
            </w:r>
          </w:p>
        </w:tc>
        <w:tc>
          <w:tcPr>
            <w:tcW w:type="dxa" w:w="3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PrimeVul/ReposVul/ICVul completed; PrimeVul title corrected.</w:t>
            </w:r>
          </w:p>
        </w:tc>
      </w:tr>
      <w:tr>
        <w:tc>
          <w:tcPr>
            <w:tcW w:type="dxa" w:w="4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PrimeVul-paired oversold as a third “case”</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jc w:val="center"/>
            </w:pPr>
            <w:r>
              <w:rPr>
                <w:b/>
                <w:bCs/>
                <w:color w:val="1E7A33"/>
              </w:rPr>
              <w:t xml:space="preserve">Fixed</w:t>
            </w:r>
          </w:p>
        </w:tc>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Moved to Supplementary Appendix as sensitivity.</w:t>
            </w:r>
          </w:p>
        </w:tc>
      </w:tr>
      <w:tr>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Discussion repeats Results</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E7A33"/>
              </w:rPr>
              <w:t xml:space="preserve">Improved</w:t>
            </w:r>
          </w:p>
        </w:tc>
        <w:tc>
          <w:tcPr>
            <w:tcW w:type="dxa" w:w="3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Diagnostic tables relocated to appendix.</w:t>
            </w:r>
          </w:p>
        </w:tc>
      </w:tr>
      <w:tr>
        <w:tc>
          <w:tcPr>
            <w:tcW w:type="dxa" w:w="4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Section 1 terminology density</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jc w:val="center"/>
            </w:pPr>
            <w:r>
              <w:rPr>
                <w:b/>
                <w:bCs/>
                <w:color w:val="1E7A33"/>
              </w:rPr>
              <w:t xml:space="preserve">Improved</w:t>
            </w:r>
          </w:p>
        </w:tc>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Now formal Definitions 1-4; still in Section 1.</w:t>
            </w:r>
          </w:p>
        </w:tc>
      </w:tr>
      <w:tr>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Clean-benchmark residual label risk</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1E7A33"/>
              </w:rPr>
              <w:t xml:space="preserve">Improved</w:t>
            </w:r>
          </w:p>
        </w:tc>
        <w:tc>
          <w:tcPr>
            <w:tcW w:type="dxa" w:w="3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New clean-negative-retraining threat paragraph.</w:t>
            </w:r>
          </w:p>
        </w:tc>
      </w:tr>
      <w:tr>
        <w:tc>
          <w:tcPr>
            <w:tcW w:type="dxa" w:w="4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Abstract leads with 0.972/FPR 0.945, no baseline</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jc w:val="center"/>
            </w:pPr>
            <w:r>
              <w:rPr>
                <w:b/>
                <w:bCs/>
                <w:color w:val="9A6A00"/>
              </w:rPr>
              <w:t xml:space="preserve">Open</w:t>
            </w:r>
          </w:p>
        </w:tc>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Abstract still omits the no-refresh 0.935/0.890 baseline.</w:t>
            </w:r>
          </w:p>
        </w:tc>
      </w:tr>
      <w:tr>
        <w:tc>
          <w:tcPr>
            <w:tcW w:type="dxa" w:w="456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Figures hide their y-axis scale</w:t>
            </w:r>
          </w:p>
        </w:tc>
        <w:tc>
          <w:tcPr>
            <w:tcW w:type="dxa" w:w="15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jc w:val="center"/>
            </w:pPr>
            <w:r>
              <w:rPr>
                <w:b/>
                <w:bCs/>
                <w:color w:val="9A6A00"/>
              </w:rPr>
              <w:t xml:space="preserve">Open</w:t>
            </w:r>
          </w:p>
        </w:tc>
        <w:tc>
          <w:tcPr>
            <w:tcW w:type="dxa" w:w="3300"/>
            <w:tcBorders>
              <w:top w:val="single" w:color="BFBFBF" w:sz="1"/>
              <w:left w:val="single" w:color="BFBFBF" w:sz="1"/>
              <w:bottom w:val="single" w:color="BFBFBF" w:sz="1"/>
              <w:right w:val="single" w:color="BFBFBF" w:sz="1"/>
            </w:tcBorders>
            <w:shd w:fill="EAF1F8" w:val="clear"/>
            <w:tcMar>
              <w:top w:type="dxa" w:w="70"/>
              <w:left w:type="dxa" w:w="110"/>
              <w:bottom w:type="dxa" w:w="70"/>
              <w:right w:type="dxa" w:w="110"/>
            </w:tcMar>
          </w:tcPr>
          <w:p>
            <w:pPr>
              <w:spacing w:after="0" w:line="264"/>
            </w:pPr>
            <w:r>
              <w:rPr>
                <w:b w:val="false"/>
                <w:bCs w:val="false"/>
              </w:rPr>
              <w:t xml:space="preserve">yticklabel=empty still present in several plots.</w:t>
            </w:r>
          </w:p>
        </w:tc>
      </w:tr>
      <w:tr>
        <w:tc>
          <w:tcPr>
            <w:tcW w:type="dxa" w:w="45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Vul4J .bib LaTeX escaping bug</w:t>
            </w:r>
          </w:p>
        </w:tc>
        <w:tc>
          <w:tcPr>
            <w:tcW w:type="dxa" w:w="15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jc w:val="center"/>
            </w:pPr>
            <w:r>
              <w:rPr>
                <w:b/>
                <w:bCs/>
                <w:color w:val="9A6A00"/>
              </w:rPr>
              <w:t xml:space="preserve">Open</w:t>
            </w:r>
          </w:p>
        </w:tc>
        <w:tc>
          <w:tcPr>
            <w:tcW w:type="dxa" w:w="3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line="264"/>
            </w:pPr>
            <w:r>
              <w:rPr>
                <w:b w:val="false"/>
                <w:bCs w:val="false"/>
              </w:rPr>
              <w:t xml:space="preserve">Double backslash in the accented author name remains.</w:t>
            </w:r>
          </w:p>
        </w:tc>
      </w:tr>
    </w:tbl>
    <w:p>
      <w:pPr>
        <w:pStyle w:val="Heading1"/>
      </w:pPr>
      <w:r>
        <w:t xml:space="preserve">5. Reproducibility re-check</w:t>
      </w:r>
    </w:p>
    <w:p>
      <w:pPr>
        <w:spacing w:after="140" w:line="276"/>
      </w:pPr>
      <w:r>
        <w:rPr>
          <w:b w:val="false"/>
          <w:bCs w:val="false"/>
          <w:i w:val="false"/>
          <w:iCs w:val="false"/>
        </w:rPr>
        <w:t xml:space="preserve">The table values are unchanged from the previously verified version, and the one new quantity — the “Controlled mean recall” column in the headline aging table (0.882 and 0.810 for CVEfixes char4 / frozen embeddings, 0.455 for DiverseVul char4) — matches the controlled-run figures I cross-checked against the released result files in round 1. I therefore did not repeat the full audit; the replicability score remains 9/10. The dataset-accounting and operating-point tables continue to reconcile with the artifacts.</w:t>
      </w:r>
    </w:p>
    <w:p>
      <w:pPr>
        <w:pStyle w:val="Heading1"/>
      </w:pPr>
      <w:r>
        <w:t xml:space="preserve">6. Remaining items for the next revision</w:t>
      </w:r>
    </w:p>
    <w:p>
      <w:pPr>
        <w:spacing w:after="120" w:line="276"/>
      </w:pPr>
      <w:r>
        <w:rPr>
          <w:b w:val="false"/>
          <w:bCs w:val="false"/>
          <w:i w:val="false"/>
          <w:iCs w:val="false"/>
        </w:rPr>
        <w:t xml:space="preserve">None of the following requires a further major round in my view; they are the items I would like to see resolved before acceptance.</w:t>
      </w:r>
    </w:p>
    <w:p>
      <w:pPr>
        <w:pStyle w:val="ListParagraph"/>
        <w:numPr>
          <w:ilvl w:val="0"/>
          <w:numId w:val="2"/>
        </w:numPr>
        <w:spacing w:after="150" w:line="276"/>
      </w:pPr>
      <w:r>
        <w:rPr>
          <w:b/>
          <w:bCs/>
        </w:rPr>
        <w:t xml:space="preserve">Strongly encouraged — imbalance/scale control for C2 (M3). </w:t>
      </w:r>
      <w:r>
        <w:t xml:space="preserve">The DiverseVul C2 failure and neural collapse are load-bearing negative results, yet they remain confounded with ~6.4% positive prevalence and ~20-25 test projects per window. A single prevalence-matched or down-sampled control (even reported only in the appendix) would let readers separate “maintenance cannot reach this service level” from “this subset is too imbalanced/small to tell.” If the editor considers this essential rather than encouraged, that alone would justify holding at major revision.</w:t>
      </w:r>
    </w:p>
    <w:p>
      <w:pPr>
        <w:pStyle w:val="ListParagraph"/>
        <w:numPr>
          <w:ilvl w:val="0"/>
          <w:numId w:val="2"/>
        </w:numPr>
        <w:spacing w:after="150" w:line="276"/>
      </w:pPr>
      <w:r>
        <w:rPr>
          <w:b/>
          <w:bCs/>
        </w:rPr>
        <w:t xml:space="preserve">Add the explicit positioning table (M1). </w:t>
      </w:r>
      <w:r>
        <w:t xml:space="preserve">The prose now does the work, but a compact table contrasting MAINT-VD’s checks against PrimeVul (FPR-aware benchmarking) and Croft et al. (data-quality auditing) would make the delta unambiguous and is low-cost.</w:t>
      </w:r>
    </w:p>
    <w:p>
      <w:pPr>
        <w:pStyle w:val="ListParagraph"/>
        <w:numPr>
          <w:ilvl w:val="0"/>
          <w:numId w:val="2"/>
        </w:numPr>
        <w:spacing w:after="150" w:line="276"/>
      </w:pPr>
      <w:r>
        <w:rPr>
          <w:b/>
          <w:bCs/>
        </w:rPr>
        <w:t xml:space="preserve">Fix the abstract framing. </w:t>
      </w:r>
      <w:r>
        <w:t xml:space="preserve">State the no-refresh baseline (recall 0.935 at FPR 0.890) alongside the 0.972/0.945 small-update figure so the headline gain is not read as larger than it is.</w:t>
      </w:r>
    </w:p>
    <w:p>
      <w:pPr>
        <w:pStyle w:val="ListParagraph"/>
        <w:numPr>
          <w:ilvl w:val="0"/>
          <w:numId w:val="2"/>
        </w:numPr>
        <w:spacing w:after="150" w:line="276"/>
      </w:pPr>
      <w:r>
        <w:rPr>
          <w:b/>
          <w:bCs/>
        </w:rPr>
        <w:t xml:space="preserve">Restore numeric y-axis ticks </w:t>
      </w:r>
      <w:r>
        <w:t xml:space="preserve">on the recall, AUPRC, maintenance, and specificity figures (currently yticklabel=empty), so they can be read quantitatively rather than only as trends.</w:t>
      </w:r>
    </w:p>
    <w:p>
      <w:pPr>
        <w:pStyle w:val="ListParagraph"/>
        <w:numPr>
          <w:ilvl w:val="0"/>
          <w:numId w:val="2"/>
        </w:numPr>
        <w:spacing w:after="150" w:line="276"/>
      </w:pPr>
      <w:r>
        <w:rPr>
          <w:b/>
          <w:bCs/>
        </w:rPr>
        <w:t xml:space="preserve">Repair the Vul4J BibTeX entry </w:t>
      </w:r>
      <w:r>
        <w:t xml:space="preserve">(the doubled backslash in the accented author name will render incorrectly).</w:t>
      </w:r>
    </w:p>
    <w:p>
      <w:pPr>
        <w:pStyle w:val="ListParagraph"/>
        <w:numPr>
          <w:ilvl w:val="0"/>
          <w:numId w:val="2"/>
        </w:numPr>
        <w:spacing w:after="150" w:line="276"/>
      </w:pPr>
      <w:r>
        <w:rPr>
          <w:b/>
          <w:bCs/>
        </w:rPr>
        <w:t xml:space="preserve">Optional softening of scope claims. </w:t>
      </w:r>
      <w:r>
        <w:t xml:space="preserve">Where the text calls MAINT-VD a “reusable scaffold,” one sentence on the conditions under which the framework transfers (languages, repository-level and LLM-based detectors) would close M6 cleanly.</w:t>
      </w:r>
    </w:p>
    <w:p>
      <w:pPr>
        <w:pStyle w:val="Heading1"/>
      </w:pPr>
      <w:r>
        <w:t xml:space="preserve">7. Recommendation to the editor</w:t>
      </w:r>
    </w:p>
    <w:p>
      <w:pPr>
        <w:spacing w:after="140" w:line="276"/>
      </w:pPr>
      <w:r>
        <w:rPr>
          <w:b/>
          <w:bCs/>
        </w:rPr>
        <w:t xml:space="preserve">Minor revision. </w:t>
      </w:r>
      <w:r>
        <w:t xml:space="preserve">The revision is responsive and improves the paper across positioning, structure, scholarship, and interpretive honesty, and the work remains rigorous and exceptionally reproducible. The unresolved items are mostly editorial or scope-limiting rather than fundamental. The one substantive residual is the absence of an imbalance/scale control behind the DiverseVul negative result (M3); if the editor regards that control as necessary to support the negative claim, the paper should return for one more targeted experiment, otherwise the remaining items can be verified at the editorial level.</w:t>
      </w:r>
    </w:p>
    <w:p>
      <w:pPr>
        <w:spacing w:after="140" w:line="276"/>
      </w:pPr>
      <w:r>
        <w:rPr>
          <w:b w:val="false"/>
          <w:bCs w:val="false"/>
          <w:i/>
          <w:iCs/>
          <w:color w:val="595959"/>
        </w:rPr>
        <w:t xml:space="preserve">I would be happy to confirm the minor changes without a further full review.</w:t>
      </w: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Confidential referee report (Round 2) — Information and Software Technology (Elsevier)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300"/>
      <w:outlineLvl w:val="0"/>
    </w:pPr>
    <w:rPr>
      <w:rFonts w:ascii="Calibri" w:cs="Calibri" w:eastAsia="Calibri" w:hAnsi="Calibri"/>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 Referee Report (Round 2)</dc:title>
  <dc:creator>Peer Review</dc:creator>
  <cp:lastModifiedBy>Un-named</cp:lastModifiedBy>
  <cp:revision>1</cp:revision>
  <dcterms:created xsi:type="dcterms:W3CDTF">2026-05-22T16:03:51.347Z</dcterms:created>
  <dcterms:modified xsi:type="dcterms:W3CDTF">2026-05-22T16:03:51.347Z</dcterms:modified>
</cp:coreProperties>
</file>

<file path=docProps/custom.xml><?xml version="1.0" encoding="utf-8"?>
<Properties xmlns="http://schemas.openxmlformats.org/officeDocument/2006/custom-properties" xmlns:vt="http://schemas.openxmlformats.org/officeDocument/2006/docPropsVTypes"/>
</file>