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5CE84C0" w:rsidR="00182D09" w:rsidRPr="00A24D9A" w:rsidRDefault="006133FA">
      <w:pPr>
        <w:rPr>
          <w:b/>
          <w:sz w:val="28"/>
          <w:szCs w:val="28"/>
          <w:u w:val="single"/>
          <w:lang w:val="fr-FR"/>
        </w:rPr>
      </w:pPr>
      <w:r w:rsidRPr="00A24D9A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A24D9A">
        <w:rPr>
          <w:b/>
          <w:sz w:val="28"/>
          <w:szCs w:val="28"/>
          <w:u w:val="single"/>
          <w:lang w:val="fr-FR"/>
        </w:rPr>
        <w:t>Modifier</w:t>
      </w:r>
      <w:r w:rsidRPr="00A24D9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A24D9A">
        <w:rPr>
          <w:b/>
          <w:sz w:val="28"/>
          <w:szCs w:val="28"/>
          <w:u w:val="single"/>
          <w:lang w:val="fr-FR"/>
        </w:rPr>
        <w:t xml:space="preserve"> </w:t>
      </w:r>
      <w:r w:rsidR="00A24D9A" w:rsidRPr="00A24D9A">
        <w:rPr>
          <w:b/>
          <w:sz w:val="28"/>
          <w:szCs w:val="28"/>
          <w:u w:val="single"/>
          <w:lang w:val="fr-FR"/>
        </w:rPr>
        <w:t>articl</w:t>
      </w:r>
      <w:r w:rsidR="00A24D9A">
        <w:rPr>
          <w:b/>
          <w:sz w:val="28"/>
          <w:szCs w:val="28"/>
          <w:u w:val="single"/>
          <w:lang w:val="fr-FR"/>
        </w:rPr>
        <w:t>e</w:t>
      </w:r>
    </w:p>
    <w:p w14:paraId="1DE31195" w14:textId="77777777" w:rsidR="00182D09" w:rsidRPr="00A24D9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14D70D52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</w:t>
      </w:r>
      <w:r w:rsidR="007D5106">
        <w:t>article</w:t>
      </w:r>
      <w:r w:rsidR="000A1753">
        <w:t xml:space="preserve">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</w:t>
      </w:r>
      <w:r w:rsidR="007D5106">
        <w:t>article ou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7FFF7FC8" w14:textId="01C73585" w:rsidR="007D5106" w:rsidRDefault="007D5106" w:rsidP="007D5106">
      <w:pPr>
        <w:numPr>
          <w:ilvl w:val="0"/>
          <w:numId w:val="1"/>
        </w:numPr>
      </w:pPr>
      <w:r>
        <w:t>Le système charge la liste des pays et affiche un menu de recherche.</w:t>
      </w:r>
    </w:p>
    <w:p w14:paraId="525CD275" w14:textId="5AFD9028" w:rsidR="007D5106" w:rsidRDefault="007D5106" w:rsidP="007D5106">
      <w:pPr>
        <w:numPr>
          <w:ilvl w:val="0"/>
          <w:numId w:val="1"/>
        </w:numPr>
      </w:pPr>
      <w:r>
        <w:t>L'utilisateur saisit le champ de recherche</w:t>
      </w:r>
    </w:p>
    <w:p w14:paraId="6E8134C6" w14:textId="78E7B2F4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7D5106">
        <w:t xml:space="preserve">charge l'article associé à la recherche et </w:t>
      </w:r>
      <w:r>
        <w:t xml:space="preserve">affiche les informations à saisir pour </w:t>
      </w:r>
      <w:r w:rsidR="00DB16D5">
        <w:t>modifier</w:t>
      </w:r>
      <w:r>
        <w:t xml:space="preserve"> </w:t>
      </w:r>
      <w:r w:rsidR="00DB16D5">
        <w:t>l</w:t>
      </w:r>
      <w:r w:rsidR="007D5106">
        <w:t>'article.</w:t>
      </w:r>
    </w:p>
    <w:p w14:paraId="7A3EB63F" w14:textId="7301CEBE" w:rsidR="00182D09" w:rsidRDefault="007D5106" w:rsidP="008708BE">
      <w:pPr>
        <w:numPr>
          <w:ilvl w:val="0"/>
          <w:numId w:val="1"/>
        </w:numPr>
      </w:pPr>
      <w:r>
        <w:t>L’utilisateur saisit les nouvelles informations de l'article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174C265B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8708BE">
        <w:t>e l'article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11AABA0E" w14:textId="5F683FF5" w:rsidR="00182D09" w:rsidRDefault="006133FA" w:rsidP="008708BE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5DB073B1" w14:textId="56E8CA1B" w:rsidR="00182D09" w:rsidRDefault="006133FA">
      <w:pPr>
        <w:numPr>
          <w:ilvl w:val="0"/>
          <w:numId w:val="2"/>
        </w:numPr>
      </w:pPr>
      <w:r>
        <w:t>FA4 : le système ne parvient pas à enregistrer l</w:t>
      </w:r>
      <w:r w:rsidR="008708BE">
        <w:t xml:space="preserve">'article </w:t>
      </w:r>
      <w:r>
        <w:t xml:space="preserve">(étape </w:t>
      </w:r>
      <w:r w:rsidR="008708BE">
        <w:t>f</w:t>
      </w:r>
      <w:r>
        <w:t xml:space="preserve">), retour à l’étape </w:t>
      </w:r>
      <w:r w:rsidR="008708BE">
        <w:t>e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98CA552" w:rsidR="00182D09" w:rsidRDefault="00182D09">
      <w:pPr>
        <w:ind w:left="720"/>
      </w:pPr>
    </w:p>
    <w:p w14:paraId="23AF4615" w14:textId="162060E2" w:rsidR="005778E3" w:rsidRDefault="005778E3">
      <w:pPr>
        <w:ind w:left="720"/>
      </w:pPr>
    </w:p>
    <w:p w14:paraId="73317BFD" w14:textId="4C6E9A76" w:rsidR="005778E3" w:rsidRDefault="005778E3">
      <w:pPr>
        <w:ind w:left="720"/>
      </w:pPr>
    </w:p>
    <w:p w14:paraId="4A287CF4" w14:textId="0E4E7F8D" w:rsidR="005778E3" w:rsidRDefault="005778E3">
      <w:pPr>
        <w:ind w:left="720"/>
      </w:pPr>
    </w:p>
    <w:p w14:paraId="747FEEB4" w14:textId="6AF56F37" w:rsidR="005778E3" w:rsidRDefault="005778E3">
      <w:pPr>
        <w:ind w:left="720"/>
      </w:pPr>
    </w:p>
    <w:p w14:paraId="64B88CAF" w14:textId="16FA1195" w:rsidR="005778E3" w:rsidRDefault="005778E3">
      <w:pPr>
        <w:ind w:left="720"/>
      </w:pPr>
    </w:p>
    <w:p w14:paraId="12814C36" w14:textId="77777777" w:rsidR="005778E3" w:rsidRDefault="005778E3">
      <w:pPr>
        <w:ind w:left="720"/>
      </w:pPr>
    </w:p>
    <w:p w14:paraId="6175B8C8" w14:textId="31BB2186" w:rsidR="00182D09" w:rsidRDefault="00182D09"/>
    <w:p w14:paraId="7C3EB8CE" w14:textId="7C7F59C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3CA30CB7" w14:textId="77777777" w:rsidR="008708BE" w:rsidRDefault="008708BE" w:rsidP="008708BE">
      <w:pPr>
        <w:ind w:left="720"/>
        <w:rPr>
          <w:b/>
        </w:rPr>
      </w:pPr>
    </w:p>
    <w:p w14:paraId="54DDF3EF" w14:textId="77777777" w:rsidR="008708BE" w:rsidRPr="008708BE" w:rsidRDefault="008708BE" w:rsidP="008708BE">
      <w:pPr>
        <w:pStyle w:val="Paragraphedeliste"/>
        <w:rPr>
          <w:bCs/>
          <w:i/>
          <w:iCs/>
        </w:rPr>
      </w:pPr>
      <w:r w:rsidRPr="008708BE">
        <w:rPr>
          <w:bCs/>
          <w:i/>
          <w:iCs/>
        </w:rPr>
        <w:t>Menu de recherche :</w:t>
      </w:r>
    </w:p>
    <w:p w14:paraId="61E3FF99" w14:textId="77777777" w:rsidR="008708BE" w:rsidRPr="008708BE" w:rsidRDefault="008708BE" w:rsidP="008708BE">
      <w:pPr>
        <w:pStyle w:val="Paragraphedeliste"/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:rsidRPr="000E14C5" w14:paraId="6C269C48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2D18061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3A36BD04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60FE09A3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CC4922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8708BE" w:rsidRPr="000E14C5" w14:paraId="003F8289" w14:textId="77777777" w:rsidTr="00AC0DD2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0465B0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Saisie dans le champ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61E487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2CE2CC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0A97E52C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1511545B" w14:textId="77777777" w:rsidR="008708BE" w:rsidRDefault="008708BE" w:rsidP="008708BE">
      <w:pPr>
        <w:rPr>
          <w:b/>
        </w:rPr>
      </w:pPr>
    </w:p>
    <w:p w14:paraId="61AFDC26" w14:textId="77777777" w:rsidR="008708BE" w:rsidRPr="0096182E" w:rsidRDefault="008708BE" w:rsidP="008708B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329D8D13" w14:textId="77777777" w:rsidR="008708BE" w:rsidRPr="0096182E" w:rsidRDefault="008708BE" w:rsidP="008708B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6139E1A0" w14:textId="77777777" w:rsidR="008708BE" w:rsidRDefault="008708BE" w:rsidP="008708B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14:paraId="34517389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4919B29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60FA13D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4D6FAE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7665A3F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0B4F98" w14:paraId="5D8A1D40" w14:textId="77777777" w:rsidTr="00AC0DD2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33CA1906" w14:textId="34AA0433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B2ED53E" w14:textId="566CD4EC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B79219" w14:textId="070EA251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36CBC8B" w14:textId="56E2B8AE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B4F98" w14:paraId="2B629EF9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C2622A0" w14:textId="203E60C7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0B06A1" w14:textId="49BDAB03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80A124C" w14:textId="68CDEE45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56CD636" w14:textId="4D3AE93D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B4F98" w14:paraId="7AA6BE11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58F574F3" w14:textId="2F45FA30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B948364" w14:textId="38458150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B81697E" w14:textId="5D0E2186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EB902A1" w14:textId="7AA033CA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déroulant : types des produits prédéfinis</w:t>
            </w:r>
          </w:p>
        </w:tc>
      </w:tr>
      <w:tr w:rsidR="000B4F98" w14:paraId="40F00D0E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17989A2" w14:textId="012977EE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A1B0CB" w14:textId="7778D230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C082448" w14:textId="1DD4F961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F64968B" w14:textId="72235B8F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0B4F98" w14:paraId="0398334A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543196E8" w14:textId="2CBAF6DE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D772916" w14:textId="03EE76E3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F6FEC90" w14:textId="189AA57E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3D3134C" w14:textId="3E575202" w:rsidR="000B4F98" w:rsidRPr="000E14C5" w:rsidRDefault="000B4F98" w:rsidP="000B4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0B4F98" w14:paraId="6C948A86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0F447EC" w14:textId="7A1CC28D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tva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677D864" w14:textId="620C2CC6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EB53BE3" w14:textId="16AA05A1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C7444F" w14:textId="7A36135B" w:rsidR="000B4F98" w:rsidRPr="000E14C5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déroulant : {2.1%, 5.5%, 10</w:t>
            </w:r>
            <w:proofErr w:type="gramStart"/>
            <w:r>
              <w:rPr>
                <w:sz w:val="20"/>
                <w:szCs w:val="20"/>
              </w:rPr>
              <w:t>% ,</w:t>
            </w:r>
            <w:proofErr w:type="gramEnd"/>
            <w:r>
              <w:rPr>
                <w:sz w:val="20"/>
                <w:szCs w:val="20"/>
              </w:rPr>
              <w:t xml:space="preserve"> 20%}</w:t>
            </w:r>
          </w:p>
        </w:tc>
      </w:tr>
      <w:tr w:rsidR="000B4F98" w14:paraId="0DC26A06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313C946A" w14:textId="0791943B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de conditionnement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C167062" w14:textId="76F04CCF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3E2638E" w14:textId="7BBF95EF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F11ED1E" w14:textId="7FE7F206" w:rsidR="000B4F98" w:rsidRDefault="000B4F98" w:rsidP="000B4F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E0F8CC1" w:rsidR="00E019EA" w:rsidRDefault="000E14C5" w:rsidP="008708BE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17BE7CE8" w14:textId="01CA8EED" w:rsidR="000542F1" w:rsidRDefault="000542F1"/>
    <w:p w14:paraId="4D4E6758" w14:textId="77777777" w:rsidR="00182D09" w:rsidRDefault="00182D09"/>
    <w:p w14:paraId="53DF6752" w14:textId="0D0F0294" w:rsidR="00182D09" w:rsidRPr="008708BE" w:rsidRDefault="000B4F98" w:rsidP="008708BE">
      <w:pPr>
        <w:pStyle w:val="Paragraphedeliste"/>
        <w:numPr>
          <w:ilvl w:val="0"/>
          <w:numId w:val="4"/>
        </w:numPr>
        <w:rPr>
          <w:b/>
        </w:rPr>
      </w:pPr>
      <w:r w:rsidRPr="000B4F98">
        <w:drawing>
          <wp:anchor distT="0" distB="0" distL="114300" distR="114300" simplePos="0" relativeHeight="251658240" behindDoc="0" locked="0" layoutInCell="1" allowOverlap="1" wp14:anchorId="17077D85" wp14:editId="3D3DC184">
            <wp:simplePos x="0" y="0"/>
            <wp:positionH relativeFrom="column">
              <wp:posOffset>-266065</wp:posOffset>
            </wp:positionH>
            <wp:positionV relativeFrom="paragraph">
              <wp:posOffset>225397</wp:posOffset>
            </wp:positionV>
            <wp:extent cx="6395500" cy="4397072"/>
            <wp:effectExtent l="0" t="0" r="5715" b="3810"/>
            <wp:wrapThrough wrapText="bothSides">
              <wp:wrapPolygon edited="0">
                <wp:start x="0" y="0"/>
                <wp:lineTo x="0" y="21525"/>
                <wp:lineTo x="21555" y="21525"/>
                <wp:lineTo x="2155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500" cy="439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FA" w:rsidRPr="008708BE">
        <w:rPr>
          <w:b/>
        </w:rPr>
        <w:t>Maquette du USE CASE :</w:t>
      </w:r>
    </w:p>
    <w:p w14:paraId="5172A215" w14:textId="1CD0B07A" w:rsidR="00182D09" w:rsidRDefault="00182D09">
      <w:pPr>
        <w:rPr>
          <w:noProof/>
        </w:rPr>
      </w:pPr>
    </w:p>
    <w:p w14:paraId="48D8B780" w14:textId="664A6D15" w:rsidR="000B4F98" w:rsidRDefault="000B4F98"/>
    <w:sectPr w:rsidR="000B4F98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A242" w14:textId="77777777" w:rsidR="00B97F7F" w:rsidRDefault="00B97F7F">
      <w:pPr>
        <w:spacing w:line="240" w:lineRule="auto"/>
      </w:pPr>
      <w:r>
        <w:separator/>
      </w:r>
    </w:p>
  </w:endnote>
  <w:endnote w:type="continuationSeparator" w:id="0">
    <w:p w14:paraId="35EB7AEC" w14:textId="77777777" w:rsidR="00B97F7F" w:rsidRDefault="00B97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CE419" w14:textId="77777777" w:rsidR="00B97F7F" w:rsidRDefault="00B97F7F">
      <w:pPr>
        <w:spacing w:line="240" w:lineRule="auto"/>
      </w:pPr>
      <w:r>
        <w:separator/>
      </w:r>
    </w:p>
  </w:footnote>
  <w:footnote w:type="continuationSeparator" w:id="0">
    <w:p w14:paraId="714E24D3" w14:textId="77777777" w:rsidR="00B97F7F" w:rsidRDefault="00B97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B4F98"/>
    <w:rsid w:val="000E14C5"/>
    <w:rsid w:val="00131580"/>
    <w:rsid w:val="00182D09"/>
    <w:rsid w:val="00307B45"/>
    <w:rsid w:val="00324E7D"/>
    <w:rsid w:val="004B4909"/>
    <w:rsid w:val="004B76F7"/>
    <w:rsid w:val="005778E3"/>
    <w:rsid w:val="006133FA"/>
    <w:rsid w:val="00630AF4"/>
    <w:rsid w:val="0064027E"/>
    <w:rsid w:val="00675BF4"/>
    <w:rsid w:val="00751E23"/>
    <w:rsid w:val="007D5106"/>
    <w:rsid w:val="008708BE"/>
    <w:rsid w:val="008D006F"/>
    <w:rsid w:val="00953594"/>
    <w:rsid w:val="00A24D9A"/>
    <w:rsid w:val="00A33AB0"/>
    <w:rsid w:val="00A869D4"/>
    <w:rsid w:val="00B97F7F"/>
    <w:rsid w:val="00C9403E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2020-05-30T12:53:00Z</dcterms:created>
  <dcterms:modified xsi:type="dcterms:W3CDTF">2020-06-03T15:39:00Z</dcterms:modified>
</cp:coreProperties>
</file>