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完整 MAS 在各数据集上的性能与成本实验结果</w:t>
      </w:r>
    </w:p>
    <w:p>
      <w:r>
        <w:t>说明：当前结果由确定性本地实验后端生成，用于复现论文表 7 的完整出表流程；指标为每任务均值，± 为 95% CI。</w:t>
      </w:r>
    </w:p>
    <w:p>
      <w:r>
        <w:t>实验后端：deterministic_simulator；可用真实 LLM runner 替换同一 CSV/JSON schema。</w:t>
      </w:r>
    </w:p>
    <w:tbl>
      <w:tblPr>
        <w:tblStyle w:val="TableGrid"/>
        <w:tblW w:w="0" w:type="auto"/>
      </w:tblPr>
      <w:tr>
        <w:tc>
          <w:tcPr>
            <w:tcW w:w="1800" w:type="dxa"/>
          </w:tcPr>
          <w:p>
            <w:r>
              <w:t>架构</w:t>
            </w:r>
          </w:p>
        </w:tc>
        <w:tc>
          <w:tcPr>
            <w:tcW w:w="1800" w:type="dxa"/>
          </w:tcPr>
          <w:p>
            <w:r>
              <w:t>数据集</w:t>
            </w:r>
          </w:p>
        </w:tc>
        <w:tc>
          <w:tcPr>
            <w:tcW w:w="1800" w:type="dxa"/>
          </w:tcPr>
          <w:p>
            <w:r>
              <w:t>Task score</w:t>
            </w:r>
          </w:p>
        </w:tc>
        <w:tc>
          <w:tcPr>
            <w:tcW w:w="1800" w:type="dxa"/>
          </w:tcPr>
          <w:p>
            <w:r>
              <w:t>Token cost</w:t>
            </w:r>
          </w:p>
        </w:tc>
        <w:tc>
          <w:tcPr>
            <w:tcW w:w="1800" w:type="dxa"/>
          </w:tcPr>
          <w:p>
            <w:r>
              <w:t>Latency</w:t>
            </w:r>
          </w:p>
        </w:tc>
        <w:tc>
          <w:tcPr>
            <w:tcW w:w="1800" w:type="dxa"/>
          </w:tcPr>
          <w:p>
            <w:r>
              <w:t>Tool calls</w:t>
            </w:r>
          </w:p>
        </w:tc>
        <w:tc>
          <w:tcPr>
            <w:tcW w:w="1800" w:type="dxa"/>
          </w:tcPr>
          <w:p>
            <w:r>
              <w:t>备注</w:t>
            </w:r>
          </w:p>
        </w:tc>
      </w:tr>
      <w:tr>
        <w:tc>
          <w:tcPr>
            <w:tcW w:w="1800" w:type="dxa"/>
          </w:tcPr>
          <w:p>
            <w:r>
              <w:t>A1 PEV</w:t>
            </w:r>
          </w:p>
        </w:tc>
        <w:tc>
          <w:tcPr>
            <w:tcW w:w="1800" w:type="dxa"/>
          </w:tcPr>
          <w:p>
            <w:r>
              <w:t>HumanEval</w:t>
            </w:r>
          </w:p>
        </w:tc>
        <w:tc>
          <w:tcPr>
            <w:tcW w:w="1800" w:type="dxa"/>
          </w:tcPr>
          <w:p>
            <w:r>
              <w:t>0.795 ± 0.004</w:t>
            </w:r>
          </w:p>
        </w:tc>
        <w:tc>
          <w:tcPr>
            <w:tcW w:w="1800" w:type="dxa"/>
          </w:tcPr>
          <w:p>
            <w:r>
              <w:t>1,288 ± 22</w:t>
            </w:r>
          </w:p>
        </w:tc>
        <w:tc>
          <w:tcPr>
            <w:tcW w:w="1800" w:type="dxa"/>
          </w:tcPr>
          <w:p>
            <w:r>
              <w:t>8.06s ± 0.14</w:t>
            </w:r>
          </w:p>
        </w:tc>
        <w:tc>
          <w:tcPr>
            <w:tcW w:w="1800" w:type="dxa"/>
          </w:tcPr>
          <w:p>
            <w:r>
              <w:t>1.22 ± 0.05</w:t>
            </w:r>
          </w:p>
        </w:tc>
        <w:tc>
          <w:tcPr>
            <w:tcW w:w="1800" w:type="dxa"/>
          </w:tcPr>
          <w:p>
            <w:r>
              <w:t>角色分离基线，verifier 提升难题表现</w:t>
            </w:r>
          </w:p>
        </w:tc>
      </w:tr>
      <w:tr>
        <w:tc>
          <w:tcPr>
            <w:tcW w:w="1800" w:type="dxa"/>
          </w:tcPr>
          <w:p>
            <w:r>
              <w:t>A2 Chain</w:t>
            </w:r>
          </w:p>
        </w:tc>
        <w:tc>
          <w:tcPr>
            <w:tcW w:w="1800" w:type="dxa"/>
          </w:tcPr>
          <w:p>
            <w:r>
              <w:t>HumanEval</w:t>
            </w:r>
          </w:p>
        </w:tc>
        <w:tc>
          <w:tcPr>
            <w:tcW w:w="1800" w:type="dxa"/>
          </w:tcPr>
          <w:p>
            <w:r>
              <w:t>0.759 ± 0.003</w:t>
            </w:r>
          </w:p>
        </w:tc>
        <w:tc>
          <w:tcPr>
            <w:tcW w:w="1800" w:type="dxa"/>
          </w:tcPr>
          <w:p>
            <w:r>
              <w:t>2,004 ± 34</w:t>
            </w:r>
          </w:p>
        </w:tc>
        <w:tc>
          <w:tcPr>
            <w:tcW w:w="1800" w:type="dxa"/>
          </w:tcPr>
          <w:p>
            <w:r>
              <w:t>12.29s ± 0.21</w:t>
            </w:r>
          </w:p>
        </w:tc>
        <w:tc>
          <w:tcPr>
            <w:tcW w:w="1800" w:type="dxa"/>
          </w:tcPr>
          <w:p>
            <w:r>
              <w:t>1.98 ± 0.02</w:t>
            </w:r>
          </w:p>
        </w:tc>
        <w:tc>
          <w:tcPr>
            <w:tcW w:w="1800" w:type="dxa"/>
          </w:tcPr>
          <w:p>
            <w:r>
              <w:t>串行流程增加 review 成本</w:t>
            </w:r>
          </w:p>
        </w:tc>
      </w:tr>
      <w:tr>
        <w:tc>
          <w:tcPr>
            <w:tcW w:w="1800" w:type="dxa"/>
          </w:tcPr>
          <w:p>
            <w:r>
              <w:t>A3 DAG</w:t>
            </w:r>
          </w:p>
        </w:tc>
        <w:tc>
          <w:tcPr>
            <w:tcW w:w="1800" w:type="dxa"/>
          </w:tcPr>
          <w:p>
            <w:r>
              <w:t>MBPP</w:t>
            </w:r>
          </w:p>
        </w:tc>
        <w:tc>
          <w:tcPr>
            <w:tcW w:w="1800" w:type="dxa"/>
          </w:tcPr>
          <w:p>
            <w:r>
              <w:t>0.84 ± 0.002</w:t>
            </w:r>
          </w:p>
        </w:tc>
        <w:tc>
          <w:tcPr>
            <w:tcW w:w="1800" w:type="dxa"/>
          </w:tcPr>
          <w:p>
            <w:r>
              <w:t>1,772 ± 20</w:t>
            </w:r>
          </w:p>
        </w:tc>
        <w:tc>
          <w:tcPr>
            <w:tcW w:w="1800" w:type="dxa"/>
          </w:tcPr>
          <w:p>
            <w:r>
              <w:t>9.55s ± 0.11</w:t>
            </w:r>
          </w:p>
        </w:tc>
        <w:tc>
          <w:tcPr>
            <w:tcW w:w="1800" w:type="dxa"/>
          </w:tcPr>
          <w:p>
            <w:r>
              <w:t>1.82 ± 0.03</w:t>
            </w:r>
          </w:p>
        </w:tc>
        <w:tc>
          <w:tcPr>
            <w:tcW w:w="1800" w:type="dxa"/>
          </w:tcPr>
          <w:p>
            <w:r>
              <w:t>并行规划与调试，质量/成本较均衡</w:t>
            </w:r>
          </w:p>
        </w:tc>
      </w:tr>
      <w:tr>
        <w:tc>
          <w:tcPr>
            <w:tcW w:w="1800" w:type="dxa"/>
          </w:tcPr>
          <w:p>
            <w:r>
              <w:t>A4 MetaGPT-lite</w:t>
            </w:r>
          </w:p>
        </w:tc>
        <w:tc>
          <w:tcPr>
            <w:tcW w:w="1800" w:type="dxa"/>
          </w:tcPr>
          <w:p>
            <w:r>
              <w:t>MBPP</w:t>
            </w:r>
          </w:p>
        </w:tc>
        <w:tc>
          <w:tcPr>
            <w:tcW w:w="1800" w:type="dxa"/>
          </w:tcPr>
          <w:p>
            <w:r>
              <w:t>0.825 ± 0.002</w:t>
            </w:r>
          </w:p>
        </w:tc>
        <w:tc>
          <w:tcPr>
            <w:tcW w:w="1800" w:type="dxa"/>
          </w:tcPr>
          <w:p>
            <w:r>
              <w:t>1,986 ± 23</w:t>
            </w:r>
          </w:p>
        </w:tc>
        <w:tc>
          <w:tcPr>
            <w:tcW w:w="1800" w:type="dxa"/>
          </w:tcPr>
          <w:p>
            <w:r>
              <w:t>10.99s ± 0.13</w:t>
            </w:r>
          </w:p>
        </w:tc>
        <w:tc>
          <w:tcPr>
            <w:tcW w:w="1800" w:type="dxa"/>
          </w:tcPr>
          <w:p>
            <w:r>
              <w:t>1.96 ± 0.02</w:t>
            </w:r>
          </w:p>
        </w:tc>
        <w:tc>
          <w:tcPr>
            <w:tcW w:w="1800" w:type="dxa"/>
          </w:tcPr>
          <w:p>
            <w:r>
              <w:t>SOP 角色稳定，但 token 成本较高</w:t>
            </w:r>
          </w:p>
        </w:tc>
      </w:tr>
      <w:tr>
        <w:tc>
          <w:tcPr>
            <w:tcW w:w="1800" w:type="dxa"/>
          </w:tcPr>
          <w:p>
            <w:r>
              <w:t>A5 Star</w:t>
            </w:r>
          </w:p>
        </w:tc>
        <w:tc>
          <w:tcPr>
            <w:tcW w:w="1800" w:type="dxa"/>
          </w:tcPr>
          <w:p>
            <w:r>
              <w:t>MultiAgentBench</w:t>
            </w:r>
          </w:p>
        </w:tc>
        <w:tc>
          <w:tcPr>
            <w:tcW w:w="1800" w:type="dxa"/>
          </w:tcPr>
          <w:p>
            <w:r>
              <w:t>0.708 ± 0.003</w:t>
            </w:r>
          </w:p>
        </w:tc>
        <w:tc>
          <w:tcPr>
            <w:tcW w:w="1800" w:type="dxa"/>
          </w:tcPr>
          <w:p>
            <w:r>
              <w:t>3,412 ± 47</w:t>
            </w:r>
          </w:p>
        </w:tc>
        <w:tc>
          <w:tcPr>
            <w:tcW w:w="1800" w:type="dxa"/>
          </w:tcPr>
          <w:p>
            <w:r>
              <w:t>16.24s ± 0.23</w:t>
            </w:r>
          </w:p>
        </w:tc>
        <w:tc>
          <w:tcPr>
            <w:tcW w:w="1800" w:type="dxa"/>
          </w:tcPr>
          <w:p>
            <w:r>
              <w:t>1.0 ± 0.0</w:t>
            </w:r>
          </w:p>
        </w:tc>
        <w:tc>
          <w:tcPr>
            <w:tcW w:w="1800" w:type="dxa"/>
          </w:tcPr>
          <w:p>
            <w:r>
              <w:t>中心调度有利于协作任务</w:t>
            </w:r>
          </w:p>
        </w:tc>
      </w:tr>
      <w:tr>
        <w:tc>
          <w:tcPr>
            <w:tcW w:w="1800" w:type="dxa"/>
          </w:tcPr>
          <w:p>
            <w:r>
              <w:t>A6 Debate</w:t>
            </w:r>
          </w:p>
        </w:tc>
        <w:tc>
          <w:tcPr>
            <w:tcW w:w="1800" w:type="dxa"/>
          </w:tcPr>
          <w:p>
            <w:r>
              <w:t>HumanEval/MBPP</w:t>
            </w:r>
          </w:p>
        </w:tc>
        <w:tc>
          <w:tcPr>
            <w:tcW w:w="1800" w:type="dxa"/>
          </w:tcPr>
          <w:p>
            <w:r>
              <w:t>0.751 ± 0.002</w:t>
            </w:r>
          </w:p>
        </w:tc>
        <w:tc>
          <w:tcPr>
            <w:tcW w:w="1800" w:type="dxa"/>
          </w:tcPr>
          <w:p>
            <w:r>
              <w:t>2,741 ± 37</w:t>
            </w:r>
          </w:p>
        </w:tc>
        <w:tc>
          <w:tcPr>
            <w:tcW w:w="1800" w:type="dxa"/>
          </w:tcPr>
          <w:p>
            <w:r>
              <w:t>14.65s ± 0.2</w:t>
            </w:r>
          </w:p>
        </w:tc>
        <w:tc>
          <w:tcPr>
            <w:tcW w:w="1800" w:type="dxa"/>
          </w:tcPr>
          <w:p>
            <w:r>
              <w:t>1.01 ± 0.01</w:t>
            </w:r>
          </w:p>
        </w:tc>
        <w:tc>
          <w:tcPr>
            <w:tcW w:w="1800" w:type="dxa"/>
          </w:tcPr>
          <w:p>
            <w:r>
              <w:t>投票更稳健，但 token 成本高</w:t>
            </w:r>
          </w:p>
        </w:tc>
      </w:tr>
      <w:tr>
        <w:tc>
          <w:tcPr>
            <w:tcW w:w="1800" w:type="dxa"/>
          </w:tcPr>
          <w:p>
            <w:r>
              <w:t>A7 Graph</w:t>
            </w:r>
          </w:p>
        </w:tc>
        <w:tc>
          <w:tcPr>
            <w:tcW w:w="1800" w:type="dxa"/>
          </w:tcPr>
          <w:p>
            <w:r>
              <w:t>MultiAgentBench</w:t>
            </w:r>
          </w:p>
        </w:tc>
        <w:tc>
          <w:tcPr>
            <w:tcW w:w="1800" w:type="dxa"/>
          </w:tcPr>
          <w:p>
            <w:r>
              <w:t>0.709 ± 0.003</w:t>
            </w:r>
          </w:p>
        </w:tc>
        <w:tc>
          <w:tcPr>
            <w:tcW w:w="1800" w:type="dxa"/>
          </w:tcPr>
          <w:p>
            <w:r>
              <w:t>5,293 ± 74</w:t>
            </w:r>
          </w:p>
        </w:tc>
        <w:tc>
          <w:tcPr>
            <w:tcW w:w="1800" w:type="dxa"/>
          </w:tcPr>
          <w:p>
            <w:r>
              <w:t>23.35s ± 0.33</w:t>
            </w:r>
          </w:p>
        </w:tc>
        <w:tc>
          <w:tcPr>
            <w:tcW w:w="1800" w:type="dxa"/>
          </w:tcPr>
          <w:p>
            <w:r>
              <w:t>1.0 ± 0.0</w:t>
            </w:r>
          </w:p>
        </w:tc>
        <w:tc>
          <w:tcPr>
            <w:tcW w:w="1800" w:type="dxa"/>
          </w:tcPr>
          <w:p>
            <w:r>
              <w:t>稠密通信适合协作场景</w:t>
            </w:r>
          </w:p>
        </w:tc>
      </w:tr>
    </w:tbl>
    <w:p>
      <w:r>
        <w:t>文件输出：results/full_system_performance.csv、results/full_system_performance.json、results/full_system_performance_table.tex。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qFormat/>
    <w:rPr>
      <w:b/>
      <w:sz w:val="32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