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GeoSampler: Materials and Methods</w:t>
      </w:r>
    </w:p>
    <w:p>
      <w:r>
        <w:t>This section describes the GeoSampler web application as implemented for manuscript reporting. It supersedes earlier drafts that listed four sampling methods and five comparison metrics only; the deployed application now evaluates six methods, six representativeness metrics (including spatial coverage), rank-based composite scoring, and a replicate-based field-coverage optimization step at sample generation.</w:t>
      </w:r>
    </w:p>
    <w:p>
      <w:pPr>
        <w:pStyle w:val="Heading2"/>
      </w:pPr>
      <w:r>
        <w:t>2.1 Software implementation</w:t>
      </w:r>
    </w:p>
    <w:p>
      <w:r>
        <w:t>GeoSampler was developed in R (RStudio) using the Shiny framework for interactive web deployment. Core dependencies include leaflet for interactive mapping; ggplot2 and tidyverse for graphics and data handling; sf, stars, terra, and raster for geospatial operations; clhs for conditioned Latin hypercube sampling; and bslib for responsive user-interface layout. The application enforces WGS84 (EPSG:4326) for map display while conducting distance- and area-based calculations in a local UTM projection derived from the AOI centroid. All multi-layer analyses use a harmonized raster stack: common CRS, extent, and cell resolution anchored to the coarsest selected layer.</w:t>
      </w:r>
    </w:p>
    <w:p>
      <w:pPr>
        <w:pStyle w:val="Heading2"/>
      </w:pPr>
      <w:r>
        <w:t>2.2 Application workflow</w:t>
      </w:r>
    </w:p>
    <w:p>
      <w:pPr>
        <w:pStyle w:val="Heading3"/>
      </w:pPr>
      <w:r>
        <w:t>2.2.1 Boundary definition</w:t>
      </w:r>
    </w:p>
    <w:p>
      <w:r>
        <w:t>Each session begins with definition of a single Area of Interest (AOI). Users draw a polygon or rectangle on a Leaflet base map or upload GeoJSON, KML, KMZ, zipped shapefile, or GeoPackage boundaries. The application reports AOI area (ha, acres, km²), applies deployment-specific memory safeguards for large extents, and optionally applies a user-specified interior negative buffer (m) before masking rasters and building the sampling population.</w:t>
      </w:r>
    </w:p>
    <w:p>
      <w:pPr>
        <w:pStyle w:val="Heading3"/>
      </w:pPr>
      <w:r>
        <w:t>2.2.2 Covariate data acquisition</w:t>
      </w:r>
    </w:p>
    <w:p>
      <w:r>
        <w:t>Spectral covariates may be acquired via (i) PlanetScope API (authenticated users), (ii) Sentinel-2 Level-2A via STAC (single scene or per-pixel median composite within a date window and cloud-cover filter), or (iii) user-uploaded multispectral GeoTIFFs (stacked bricks or band-by-band assignment). Derived vegetation indices include NDVI, NDRE, and GNDVI. Terrain layers are retrieved (elevatr) or uploaded; slope, aspect, TPI, and a simplified TWI are computed from the DEM. Additional predictors (e.g., soil EC, yield maps) may be uploaded as named GeoTIFF layers.</w:t>
      </w:r>
    </w:p>
    <w:p>
      <w:pPr>
        <w:pStyle w:val="Heading3"/>
      </w:pPr>
      <w:r>
        <w:t>2.2.3 Covariate harmonization and sampling population</w:t>
      </w:r>
    </w:p>
    <w:p>
      <w:r>
        <w:t>Before sampling or method comparison, selected raster layers undergo harmonization: AOI masking, reprojection to the common UTM CRS, resampling to the coarsest layer resolution, and retention of only cells with valid values in all layers simultaneously. The resulting stack is converted to a tabular population of N valid cells, each with planar coordinates (x, y) and a multivariate covariate vector. This population underpins technique comparison, automatic sample generation, population–sample diagnostics, and distribution plots. For computational efficiency on large AOIs, the technique-comparison loop may randomly subsample the harmonized population (up to 65,000 cells on local deployment; 28,000 on hosted Shiny Server) while sample generation always uses the full harmonized cell set within the AOI.</w:t>
      </w:r>
    </w:p>
    <w:p>
      <w:pPr>
        <w:pStyle w:val="Heading3"/>
      </w:pPr>
      <w:r>
        <w:t>2.2.4 Sampling methods</w:t>
      </w:r>
    </w:p>
    <w:p>
      <w:pPr>
        <w:pStyle w:val="Heading4"/>
      </w:pPr>
      <w:r>
        <w:t>2.2.4.1 Simple random sampling (SRS)</w:t>
      </w:r>
    </w:p>
    <w:p>
      <w:r>
        <w:t>SRS draws n distinct cell indices uniformly at random from the valid population (sample.int) and serves as an unbiased spatial–statistical baseline.</w:t>
      </w:r>
    </w:p>
    <w:p>
      <w:pPr>
        <w:pStyle w:val="Heading4"/>
      </w:pPr>
      <w:r>
        <w:t>2.2.4.2 Systematic spatial spread</w:t>
      </w:r>
    </w:p>
    <w:p>
      <w:r>
        <w:t>This design prioritizes geographic coverage. The algorithm places k = n cluster centroids on the population XY coordinates via k-means (Hartigan–Wong; multiple random starts), then selects one population cell nearest each centroid. If fewer than n unique cells are obtained (empty clusters or ties), remaining points are filled by rank-ordered spatial thinning across the population grid. Systematic spread is deterministic given the random seed.</w:t>
      </w:r>
    </w:p>
    <w:p>
      <w:pPr>
        <w:pStyle w:val="Heading4"/>
      </w:pPr>
      <w:r>
        <w:t>2.2.4.3 Spread + conditioned Latin hypercube sampling (Spread + cLHS)</w:t>
      </w:r>
    </w:p>
    <w:p>
      <w:r>
        <w:t>A hybrid design combining spatial spread and covariate representativeness. First, a candidate pool of approximately 3n cells is chosen using the systematic spread procedure. Then cLHS (clhs package; simulated annealing) selects n points from that pool so the sample joint covariate distribution approximates the pool (and thus the field) distribution while maintaining the spatially stratified candidate set.</w:t>
      </w:r>
    </w:p>
    <w:p>
      <w:pPr>
        <w:pStyle w:val="Heading4"/>
      </w:pPr>
      <w:r>
        <w:t>2.2.4.4 Conditioned Latin hypercube sampling (cLHS)</w:t>
      </w:r>
    </w:p>
    <w:p>
      <w:r>
        <w:t>Standard cLHS selects n locations from the full valid population such that each covariate marginal distribution is stratified into n equiprobable intervals (Minasny and McBratney, 2006; Roudier et al., 2012). This optimizes multivariate representativeness without an explicit spatial objective.</w:t>
      </w:r>
    </w:p>
    <w:p>
      <w:pPr>
        <w:pStyle w:val="Heading4"/>
      </w:pPr>
      <w:r>
        <w:t>2.2.4.5 Zone-based sampling (ZBS)</w:t>
      </w:r>
    </w:p>
    <w:p>
      <w:r>
        <w:t>The AOI population is partitioned into k zones by k-means clustering in standardized covariate space (k recommended via WSS elbow analysis on up to 5,000 random pixels; user may override). Sample allocation across zones follows Neyman-optimal weighting: allocation_i is proportional to zone pixel count times mean within-zone covariate variance, with integer rounding, a minimum of one point per zone when n is at least k, and zone caps enforced by available cells. Points within each zone are drawn uniformly at random.</w:t>
      </w:r>
    </w:p>
    <w:p>
      <w:pPr>
        <w:pStyle w:val="Heading4"/>
      </w:pPr>
      <w:r>
        <w:t>2.2.4.6 Hybrid zonal cLHS (HZC)</w:t>
      </w:r>
    </w:p>
    <w:p>
      <w:r>
        <w:t>Zones are defined as in ZBS (shared k from Recommend Zones). Neyman allocation determines n_i per zone. Within each zone, n_i points are selected by cLHS on the within-zone covariate subset, combining stratified spatial allocation with local multivariate representativeness.</w:t>
      </w:r>
    </w:p>
    <w:p>
      <w:pPr>
        <w:pStyle w:val="Heading4"/>
      </w:pPr>
      <w:r>
        <w:t>2.2.4.7 Regular grid sampling</w:t>
      </w:r>
    </w:p>
    <w:p>
      <w:r>
        <w:t>Independent of the replicate-selection engine, users may generate a complete UTM square grid at a specified spacing (m) clipped to the AOI interior (capped at 5,000 points for memory safety). Grid sampling does not use the field-coverage replicate pick.</w:t>
      </w:r>
    </w:p>
    <w:p>
      <w:pPr>
        <w:pStyle w:val="Heading3"/>
      </w:pPr>
      <w:r>
        <w:t>2.2.5 Sample generation and field-coverage optimization</w:t>
      </w:r>
    </w:p>
    <w:p>
      <w:r>
        <w:t>Automatic sample generation (both Generate using recommendation and Generate sample points from Explore more) uses a unified engine for all methods except regular grid sampling.</w:t>
      </w:r>
    </w:p>
    <w:p>
      <w:r>
        <w:t>For each generation request, the application: (1) harmonizes covariates on the full AOI grid; (2) runs multiple stochastic replicates of the selected method; (3) scores each replicate; (4) retains the best replicate; and (5) optionally polishes the result.</w:t>
      </w:r>
    </w:p>
    <w:p>
      <w:r>
        <w:t>Replicate counts: one-click recommendation uses 12 replicates; user-directed generation from current sidebar settings uses 18 replicates (12 base + 6 additional) to improve the chance of achieving high field coverage for user-chosen method and sample size.</w:t>
      </w:r>
    </w:p>
    <w:p>
      <w:r>
        <w:t>Replicate seeds are derived deterministically from the session random seed as base_seed + 9000 + 17 times replicate index. When sidebar method and sample size match a completed technique comparison, zone-based and hybrid methods reuse the comparison zone partition (k-means seed = compare_base_seed + n times 97) for consistency.</w:t>
      </w:r>
    </w:p>
    <w:p>
      <w:r>
        <w:t>Field coverage spread (percent) is the primary selection metric. For each candidate sample, the median nearest-neighbor distance among selected points (in metric CRS) is divided by the ideal spacing square root of (A/n), where A is AOI area in square metres and n is sample size; the ratio is expressed as a percentage (100 percent approximates perfectly even spacing at the field scale). Replicate selection uses a two-tier rule: any replicate with field coverage at or above 60 percent is preferred; among those, the highest percentage wins; if none reach 60 percent, the highest achievable coverage is retained and the user is notified.</w:t>
      </w:r>
    </w:p>
    <w:p>
      <w:r>
        <w:t>A composite pick score (85 percent weight on normalized field coverage, 15 percent on a geographic spread index) breaks ties. The spread index combines spatial-balance components (mean nearest-neighbor distance relative to a regular reference grid of the same extent, plus occupancy of a spatial grid over the population bounding box) with evenness of point spacing.</w:t>
      </w:r>
    </w:p>
    <w:p>
      <w:r>
        <w:t>After the winning replicate is chosen, an optional polish step swaps the most clustered points with alternative population cells that increase field coverage, targeting at least 60 percent when feasible (polish disabled for very large populations or n greater than 55).</w:t>
      </w:r>
    </w:p>
    <w:p>
      <w:pPr>
        <w:pStyle w:val="Heading3"/>
      </w:pPr>
      <w:r>
        <w:t>2.2.6 Interactive point editing</w:t>
      </w:r>
    </w:p>
    <w:p>
      <w:r>
        <w:t>Generated points are rendered as editable Leaflet features. Users may relocate, delete, or add markers to reflect field access constraints, then commit edits via Save Auto Point Edits, triggering covariate re-extraction at revised coordinates.</w:t>
      </w:r>
    </w:p>
    <w:p>
      <w:pPr>
        <w:pStyle w:val="Heading3"/>
      </w:pPr>
      <w:r>
        <w:t>2.2.7 Technique comparison module</w:t>
      </w:r>
    </w:p>
    <w:p>
      <w:r>
        <w:t>The Technique Comparison module evaluates all six automatic methods across user-specified sample sizes (minimum 5; comma-separated list) with at least two Monte Carlo repeats per method-size combination. For each repeat, raw representativeness metrics are computed relative to the harmonized comparison population (possibly subsampled on large AOIs), then converted to rank-based scores across methods at that size before forming a weighted composite (Table 1). Mean composite scores and standard deviations across repeats define performance curves.</w:t>
      </w:r>
    </w:p>
    <w:p>
      <w:pPr>
        <w:pStyle w:val="IntenseQuote"/>
      </w:pPr>
      <w:r>
        <w:t>Table 1. Representativeness metrics used in the Technique Comparison module.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Description</w:t>
            </w:r>
          </w:p>
        </w:tc>
        <w:tc>
          <w:tcPr>
            <w:tcW w:type="dxa" w:w="2160"/>
          </w:tcPr>
          <w:p>
            <w:r>
              <w:t>Formulation (higher = better)</w:t>
            </w:r>
          </w:p>
        </w:tc>
        <w:tc>
          <w:tcPr>
            <w:tcW w:type="dxa" w:w="2160"/>
          </w:tcPr>
          <w:p>
            <w:r>
              <w:t>Weight</w:t>
            </w:r>
          </w:p>
        </w:tc>
      </w:tr>
      <w:tr>
        <w:tc>
          <w:tcPr>
            <w:tcW w:type="dxa" w:w="2160"/>
          </w:tcPr>
          <w:p>
            <w:r>
              <w:t>Univariate</w:t>
            </w:r>
          </w:p>
        </w:tc>
        <w:tc>
          <w:tcPr>
            <w:tcW w:type="dxa" w:w="2160"/>
          </w:tcPr>
          <w:p>
            <w:r>
              <w:t>Marginal distributional fidelity per covariate</w:t>
            </w:r>
          </w:p>
        </w:tc>
        <w:tc>
          <w:tcPr>
            <w:tcW w:type="dxa" w:w="2160"/>
          </w:tcPr>
          <w:p>
            <w:r>
              <w:t>mean(1 - KS statistic) vs. population reference subsample</w:t>
            </w:r>
          </w:p>
        </w:tc>
        <w:tc>
          <w:tcPr>
            <w:tcW w:type="dxa" w:w="2160"/>
          </w:tcPr>
          <w:p>
            <w:r>
              <w:t>0.15</w:t>
            </w:r>
          </w:p>
        </w:tc>
      </w:tr>
      <w:tr>
        <w:tc>
          <w:tcPr>
            <w:tcW w:type="dxa" w:w="2160"/>
          </w:tcPr>
          <w:p>
            <w:r>
              <w:t>Multivariate</w:t>
            </w:r>
          </w:p>
        </w:tc>
        <w:tc>
          <w:tcPr>
            <w:tcW w:type="dxa" w:w="2160"/>
          </w:tcPr>
          <w:p>
            <w:r>
              <w:t>Centroid proximity in covariate space</w:t>
            </w:r>
          </w:p>
        </w:tc>
        <w:tc>
          <w:tcPr>
            <w:tcW w:type="dxa" w:w="2160"/>
          </w:tcPr>
          <w:p>
            <w:r>
              <w:t>1 / (1 + Mahalanobis distance to population mean)</w:t>
            </w:r>
          </w:p>
        </w:tc>
        <w:tc>
          <w:tcPr>
            <w:tcW w:type="dxa" w:w="2160"/>
          </w:tcPr>
          <w:p>
            <w:r>
              <w:t>0.15</w:t>
            </w:r>
          </w:p>
        </w:tc>
      </w:tr>
      <w:tr>
        <w:tc>
          <w:tcPr>
            <w:tcW w:type="dxa" w:w="2160"/>
          </w:tcPr>
          <w:p>
            <w:r>
              <w:t>PCA coverage</w:t>
            </w:r>
          </w:p>
        </w:tc>
        <w:tc>
          <w:tcPr>
            <w:tcW w:type="dxa" w:w="2160"/>
          </w:tcPr>
          <w:p>
            <w:r>
              <w:t>Span along leading principal axes</w:t>
            </w:r>
          </w:p>
        </w:tc>
        <w:tc>
          <w:tcPr>
            <w:tcW w:type="dxa" w:w="2160"/>
          </w:tcPr>
          <w:p>
            <w:r>
              <w:t>mean of min(1, sample range / population range) for retained PCs</w:t>
            </w:r>
          </w:p>
        </w:tc>
        <w:tc>
          <w:tcPr>
            <w:tcW w:type="dxa" w:w="2160"/>
          </w:tcPr>
          <w:p>
            <w:r>
              <w:t>0.15</w:t>
            </w:r>
          </w:p>
        </w:tc>
      </w:tr>
      <w:tr>
        <w:tc>
          <w:tcPr>
            <w:tcW w:type="dxa" w:w="2160"/>
          </w:tcPr>
          <w:p>
            <w:r>
              <w:t>Range and quantile tails</w:t>
            </w:r>
          </w:p>
        </w:tc>
        <w:tc>
          <w:tcPr>
            <w:tcW w:type="dxa" w:w="2160"/>
          </w:tcPr>
          <w:p>
            <w:r>
              <w:t>Range span and extreme quantile representation</w:t>
            </w:r>
          </w:p>
        </w:tc>
        <w:tc>
          <w:tcPr>
            <w:tcW w:type="dxa" w:w="2160"/>
          </w:tcPr>
          <w:p>
            <w:r>
              <w:t>0.5 * range ratio + 0.5 * hit rate at 1st/99th population quantiles</w:t>
            </w:r>
          </w:p>
        </w:tc>
        <w:tc>
          <w:tcPr>
            <w:tcW w:type="dxa" w:w="2160"/>
          </w:tcPr>
          <w:p>
            <w:r>
              <w:t>0.22</w:t>
            </w:r>
          </w:p>
        </w:tc>
      </w:tr>
      <w:tr>
        <w:tc>
          <w:tcPr>
            <w:tcW w:type="dxa" w:w="2160"/>
          </w:tcPr>
          <w:p>
            <w:r>
              <w:t>Correlation preservation</w:t>
            </w:r>
          </w:p>
        </w:tc>
        <w:tc>
          <w:tcPr>
            <w:tcW w:type="dxa" w:w="2160"/>
          </w:tcPr>
          <w:p>
            <w:r>
              <w:t>Inter-covariate correlation structure</w:t>
            </w:r>
          </w:p>
        </w:tc>
        <w:tc>
          <w:tcPr>
            <w:tcW w:type="dxa" w:w="2160"/>
          </w:tcPr>
          <w:p>
            <w:r>
              <w:t>1 - mean absolute correlation difference / 2</w:t>
            </w:r>
          </w:p>
        </w:tc>
        <w:tc>
          <w:tcPr>
            <w:tcW w:type="dxa" w:w="2160"/>
          </w:tcPr>
          <w:p>
            <w:r>
              <w:t>0.15</w:t>
            </w:r>
          </w:p>
        </w:tc>
      </w:tr>
      <w:tr>
        <w:tc>
          <w:tcPr>
            <w:tcW w:type="dxa" w:w="2160"/>
          </w:tcPr>
          <w:p>
            <w:r>
              <w:t>Spatial coverage</w:t>
            </w:r>
          </w:p>
        </w:tc>
        <w:tc>
          <w:tcPr>
            <w:tcW w:type="dxa" w:w="2160"/>
          </w:tcPr>
          <w:p>
            <w:r>
              <w:t>Geographic spread of sample points</w:t>
            </w:r>
          </w:p>
        </w:tc>
        <w:tc>
          <w:tcPr>
            <w:tcW w:type="dxa" w:w="2160"/>
          </w:tcPr>
          <w:p>
            <w:r>
              <w:t>Mean of mean-NN score and spatial grid-cell occupancy score</w:t>
            </w:r>
          </w:p>
        </w:tc>
        <w:tc>
          <w:tcPr>
            <w:tcW w:type="dxa" w:w="2160"/>
          </w:tcPr>
          <w:p>
            <w:r>
              <w:t>0.18</w:t>
            </w:r>
          </w:p>
        </w:tc>
      </w:tr>
    </w:tbl>
    <w:p>
      <w:r>
        <w:t>Weights sum to 1.0. Range/quantile and spatial metrics receive modest emphasis so that purely spatial designs do not dominate when covariate fidelity is the primary objective.</w:t>
      </w:r>
    </w:p>
    <w:p>
      <w:pPr>
        <w:pStyle w:val="Heading3"/>
      </w:pPr>
      <w:r>
        <w:t>2.2.8 Sample size and method recommendation rules</w:t>
      </w:r>
    </w:p>
    <w:p>
      <w:r>
        <w:t>Four rules propose sample sizes from score-size curves: elbow, threshold (default 90 percent of maximum score), stability (CV across repeats at most 0.15), and cost-accuracy trade-off. A fair tie-break among near-top sizes selects the candidate closest to the median evaluated size. The winning method is identified from rank-based final scores at the recommended n.</w:t>
      </w:r>
    </w:p>
    <w:p>
      <w:pPr>
        <w:pStyle w:val="Heading3"/>
      </w:pPr>
      <w:r>
        <w:t>2.2.9 Quality reporting</w:t>
      </w:r>
    </w:p>
    <w:p>
      <w:r>
        <w:t>The Sampling Quality Dashboard reports point spacing, zone balance, field coverage spread percent, and geographic spread index. Historical samples may be uploaded for map and distribution comparison. PDF export summarizes maps, diagnostics, and comparison results.</w:t>
      </w:r>
    </w:p>
    <w:p>
      <w:pPr>
        <w:pStyle w:val="Heading3"/>
      </w:pPr>
      <w:r>
        <w:t>2.2.10 Deployment and reproducibility</w:t>
      </w:r>
    </w:p>
    <w:p>
      <w:r>
        <w:t>Hosted deployments apply stricter cell caps than local runs. All stochastic procedures are seed-controlled. Complete source code is available at [GitHub repository URL].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