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Case Study: End-to-end workflow for GPS-ready sampling points</w:t>
      </w:r>
    </w:p>
    <w:p>
      <w:r>
        <w:t>This case study demonstrates how GeoSampler was used to plan a new soil-sampling campaign for a production field when only a boundary file, Sentinel-2 imagery, and coordinates from a prior grid-based campaign were available. The workflow follows the application sequence a practitioner would use: define the field, characterize spatial variability with imagery and terrain, compare sampling techniques, generate coordinates from the recommended design, quantify representativeness against the harmonized population, and contrast the new plan with historical points. Bracketed placeholders indicate where site-specific figures, tables, and numeric summaries should be inserted from GeoSampler exports.</w:t>
      </w:r>
    </w:p>
    <w:p>
      <w:pPr>
        <w:pStyle w:val="Heading2"/>
      </w:pPr>
      <w:r>
        <w:t>3.1 Field boundary and session setup</w:t>
      </w:r>
    </w:p>
    <w:p>
      <w:r>
        <w:t>The AOI was defined by uploading a vector boundary file for the target field [specify format: e.g., shapefile / GeoPackage / GeoJSON]. GeoSampler computed the enclosed area [INSERT: area in ha] and displayed the boundary on all map views. A negative interior buffer of [INSERT: buffer distance, m] was applied where appropriate to exclude edge pixels [or: no buffer was applied]. The same boundary constrained all subsequent STAC searches, raster masking, harmonization, technique comparison, and sample generation.</w:t>
      </w:r>
    </w:p>
    <w:p>
      <w:pPr>
        <w:pStyle w:val="Heading2"/>
      </w:pPr>
      <w:r>
        <w:t>3.2 Imagery acquisition and vegetation-index derivation</w:t>
      </w:r>
    </w:p>
    <w:p>
      <w:r>
        <w:t>Sentinel-2 Level-2A data were accessed through the Imagery tab STAC interface. The user specified a phenological window from 1 August 2024 to 1 February 2025 and a maximum cloud-cover threshold [INSERT: e.g., 20%] for catalog search.</w:t>
      </w:r>
    </w:p>
    <w:p>
      <w:pPr>
        <w:pStyle w:val="Heading3"/>
      </w:pPr>
      <w:r>
        <w:t>3.2.1 NDRE time-series exploration</w:t>
      </w:r>
    </w:p>
    <w:p>
      <w:r>
        <w:t>Upon catalog search, GeoSampler built an NDRE trend chart (Timeseries viewer) without downloading full scenes, plotting mean NDRE within the AOI for acquisitions in the search window. This allowed visual inspection of seasonal crop vigor dynamics and identification of periods with stable vs. transitional canopy conditions [INSERT: brief interpretation—e.g., peak NDRE in month X, decline after harvest, etc.]. When the catalog exceeded 25 scenes, the chart used up to 25 evenly spaced acquisition dates (oldest to newest); otherwise all listed scenes were plotted.</w:t>
      </w:r>
    </w:p>
    <w:p>
      <w:pPr>
        <w:pStyle w:val="Heading3"/>
      </w:pPr>
      <w:r>
        <w:t>3.2.2 Scene selection using NDRE spread ranking</w:t>
      </w:r>
    </w:p>
    <w:p>
      <w:r>
        <w:t>For single-scene retrieval, the optional Rank scenes (quick NDRE hint) tool scored up to 12 catalog acquisitions by within-field NDRE variability (85th − 15th percentile of subsampled NDRE). The scene with the highest NDRE spread was marked ★ in the selector and chosen for download [INSERT: acquisition date of selected scene; INSERT: NDRE spread score from app, e.g., 0.XXX]. This prioritizes an acquisition date that captures greater spatial heterogeneity in canopy condition rather than the most recent or least cloudy scene alone. The selected scene was retrieved in Imagery Viewer and used as the spectral basis for vegetation indices.</w:t>
      </w:r>
    </w:p>
    <w:p>
      <w:pPr>
        <w:pStyle w:val="Heading3"/>
      </w:pPr>
      <w:r>
        <w:t>3.2.3 Vegetation indices computed</w:t>
      </w:r>
    </w:p>
    <w:p>
      <w:r>
        <w:t>From the retrieved Sentinel-2 stack, GeoSampler computed six vegetation indices: NDVI, NDRE, GNDVI, OSAVI, CIre, and VARI. These layers were added to the Variables library and carried forward into harmonization and sampling.</w:t>
      </w:r>
    </w:p>
    <w:p>
      <w:pPr>
        <w:pStyle w:val="Heading2"/>
      </w:pPr>
      <w:r>
        <w:t>3.3 Terrain covariates</w:t>
      </w:r>
    </w:p>
    <w:p>
      <w:r>
        <w:t>Elevation for the AOI was retrieved through the application’s elevation workflow [INSERT: source—e.g., elevatr AWS terrain]. From the digital elevation model, GeoSampler derived slope (degrees), aspect (degrees), Topographic Position Index (TPI), and a simplified Topographic Wetness Index (TWI). Together with the six vegetation indices, these surfaces constituted the multivariate environmental description of the field prior to sampling design.</w:t>
      </w:r>
    </w:p>
    <w:p>
      <w:pPr>
        <w:pStyle w:val="Heading2"/>
      </w:pPr>
      <w:r>
        <w:t>3.4 Covariate stack for technique comparison</w:t>
      </w:r>
    </w:p>
    <w:p>
      <w:r>
        <w:t>On the Sampling tab, the Full covariate preset was applied so that all harmonized layers available in the session were selected for technique comparison—in this case, eleven layers spanning vegetation indices and terrain derivatives [INSERT: list all 11 layer names as exported from Variables summary, e.g., NDVI, NDRE, …, TWI]. The same layer set was used for method scoring, recommended sample generation, and post-hoc representativeness diagnostics.</w:t>
      </w:r>
    </w:p>
    <w:p>
      <w:pPr>
        <w:pStyle w:val="Heading2"/>
      </w:pPr>
      <w:r>
        <w:t>3.5 Technique comparison and recommendation</w:t>
      </w:r>
    </w:p>
    <w:p>
      <w:r>
        <w:t>Under Technique comparison, all six implemented automatic methods were evaluated: Simple Random, Systematic Spread, Spread + cLHS, cLHS, Zone-based, and Hybrid Zonal cLHS. Sample sizes of 20, 40, 50, and 60 points were specified; the default of three Monte Carlo repeats per method–size combination was retained. Zone count k for zone-based methods was set using Recommend Zones [INSERT: recommended k = X]. Comparison used the rank-based composite across six metrics (Table 1 in Materials and Methods), with the harmonized population subsampled automatically when required for computational safety on the deployment environment.</w:t>
      </w:r>
    </w:p>
    <w:p>
      <w:r>
        <w:t>[FIGURE 3.1 — INSERT: Technique comparison performance curves (final composite score vs. sample size for each method, with error bars or ribbons for repeat variability).]</w:t>
      </w:r>
    </w:p>
    <w:p>
      <w:r>
        <w:t>The application identified [INSERT: winning method name] as the top-ranked method at the recommended sample size n = [INSERT: recommended n, e.g., 40]. Supporting rules (elbow, threshold, stability, cost–accuracy) and the podium summary in GeoSampler agreed [INSERT: note any disagreement among rules, if any]. [TABLE 3.1 — INSERT: Final method ranking table at recommended n, including composite score, score SD, and metric columns.]</w:t>
      </w:r>
    </w:p>
    <w:p>
      <w:pPr>
        <w:pStyle w:val="Heading2"/>
      </w:pPr>
      <w:r>
        <w:t>3.6 Sample generation from the recommendation</w:t>
      </w:r>
    </w:p>
    <w:p>
      <w:r>
        <w:t>Sample coordinates were produced using Generate using recommendation (one click), which synchronized sidebar settings to the comparison winner and executed twelve stochastic replicates on the full harmonized grid, retaining the replicate with the best field-coverage spread percentage (target ≥60% where achievable). The session random seed was [INSERT: seed value]. GeoSampler reported [INSERT: field coverage %, e.g., 62.3%] and replicate [INSERT: e.g., 4 of 12] in the completion notice.</w:t>
      </w:r>
    </w:p>
    <w:p>
      <w:r>
        <w:t>[FIGURE 3.2 — INSERT: Leaflet map of final sample points over boundary and basemap.]</w:t>
      </w:r>
    </w:p>
    <w:p>
      <w:r>
        <w:t>Final coordinates were exported as GeoJSON for field navigation [INSERT: n points generated]. Points remained editable via Save Auto Point Edits if field access constraints required minor relocation.</w:t>
      </w:r>
    </w:p>
    <w:p>
      <w:pPr>
        <w:pStyle w:val="Heading2"/>
      </w:pPr>
      <w:r>
        <w:t>3.7 Representativeness of the generated sample vs. the harmonized population</w:t>
      </w:r>
    </w:p>
    <w:p>
      <w:r>
        <w:t>To evaluate whether the recommended sample captured the field’s covariate space, GeoSampler’s Population vs sample diagnostics were used. The harmonized population reference was summarized with up to 150,000 random AOI cells per layer; extracted values at the generated sample locations were compared via summary statistics and distribution plots.</w:t>
      </w:r>
    </w:p>
    <w:p>
      <w:pPr>
        <w:pStyle w:val="Heading3"/>
      </w:pPr>
      <w:r>
        <w:t>3.7.1 Summary statistics</w:t>
      </w:r>
    </w:p>
    <w:p>
      <w:r>
        <w:t>[TABLE 3.2 — INSERT: Population vs sample summary table from GeoSampler (Min, Max, Mean, Median per layer). Below, example placeholder text—replace all bracketed values with exported numbers.]</w:t>
      </w:r>
    </w:p>
    <w:p>
      <w:r>
        <w:t>For NDVI, population Min / Max / Mean / Median were [INSERT] / [INSERT] / [INSERT] / [INSERT], versus sample Min / Max / Mean / Median of [INSERT] / [INSERT] / [INSERT] / [INSERT]. For NDRE, population statistics were [INSERT mean]; [INSERT median] compared with sample mean [INSERT] and median [INSERT]. For elevation (DEM), population mean [INSERT] and median [INSERT] aligned with sample mean [INSERT] and median [INSERT] [INSERT: one sentence on largest discrepancies, e.g., tails or specific layers]. Similar comparisons for GNDVI, OSAVI, CIre, VARI, slope, aspect, TPI, and TWI are reported in Table 3.2.</w:t>
      </w:r>
    </w:p>
    <w:p>
      <w:pPr>
        <w:pStyle w:val="Heading3"/>
      </w:pPr>
      <w:r>
        <w:t>3.7.2 Distribution plots</w:t>
      </w:r>
    </w:p>
    <w:p>
      <w:r>
        <w:t>[FIGURE 3.3 — INSERT: Population vs sample density/violin plots from Sampling → Distributions (Compute distributions); one panel per covariate layer, showing population reference and sample overlay.]</w:t>
      </w:r>
    </w:p>
    <w:p>
      <w:r>
        <w:t>Visually, the sample distributions [INSERT: tracked / under-represented / over-represented] the population for [INSERT: list layers where agreement was strongest]. Largest visual offsets occurred for [INSERT: layer name(s)], consistent with [INSERT: brief interpretation—e.g., sparse tail in population, zone allocation, etc.].</w:t>
      </w:r>
    </w:p>
    <w:p>
      <w:pPr>
        <w:pStyle w:val="Heading2"/>
      </w:pPr>
      <w:r>
        <w:t>3.8 Field comparison with a prior grid-based campaign</w:t>
      </w:r>
    </w:p>
    <w:p>
      <w:r>
        <w:t>Historical soil-sampling coordinates from a previous field season were uploaded under Field comparison as previously collected points. Those legacy locations reflected a [INSERT: grid spacing, m] regular grid design rather than a covariate-optimized plan. After generating app sample points, GeoSampler extracted covariate values at both point sets for all loaded layers and enabled side-by-side geographic and distributional comparison.</w:t>
      </w:r>
    </w:p>
    <w:p>
      <w:pPr>
        <w:pStyle w:val="Heading3"/>
      </w:pPr>
      <w:r>
        <w:t>3.8.1 Spatial overlap</w:t>
      </w:r>
    </w:p>
    <w:p>
      <w:r>
        <w:t>[FIGURE 3.4 — INSERT: Field comparison map—orange = historical grid samples (n = [INSERT]); blue = app-recommended samples (n = [INSERT]); red boundary.]</w:t>
      </w:r>
    </w:p>
    <w:p>
      <w:r>
        <w:t>The map showed [INSERT: description—e.g., historical points concentrated in the northern third while new samples filled southern management units; partial overlap near field center; etc.].</w:t>
      </w:r>
    </w:p>
    <w:p>
      <w:pPr>
        <w:pStyle w:val="Heading3"/>
      </w:pPr>
      <w:r>
        <w:t>3.8.2 Covariate-space comparison</w:t>
      </w:r>
    </w:p>
    <w:p>
      <w:r>
        <w:t>On the Distributions sub-tab, Compute distributions produced dual violins per layer (historical orange cloud vs. app blue).</w:t>
      </w:r>
    </w:p>
    <w:p>
      <w:r>
        <w:t>[FIGURE 3.5 — INSERT: Field comparison violin plots for key layers—e.g., NDVI, NDRE, elevation, TWI.]</w:t>
      </w:r>
    </w:p>
    <w:p>
      <w:r>
        <w:t>For NDVI, historical samples exhibited mean [INSERT] and median [INSERT] compared with app sample mean [INSERT] and median [INSERT], suggesting [INSERT: interpretation]. For NDRE, means were [INSERT] vs. [INSERT] and medians [INSERT] vs. [INSERT]. [INSERT: 2–3 sentences on whether prior grid sampling captured similar elevation/TWI structure or missed wetter/drier zones.] Overall, the comparison indicated that the prior grid campaign was [INSERT: more clustered in covariate space / reasonably aligned with population means but poor in tails / spatially redundant relative to the new design].</w:t>
      </w:r>
    </w:p>
    <w:p>
      <w:pPr>
        <w:pStyle w:val="Heading2"/>
      </w:pPr>
      <w:r>
        <w:t>3.9 Case-study deliverables and limitations</w:t>
      </w:r>
    </w:p>
    <w:p>
      <w:r>
        <w:t>Deliverables from this workflow were (i) GPS-ready coordinates from the recommended method at the recommended n, (ii) documented technique-comparison scores justifying that choice, (iii) population–sample diagnostics demonstrating internal representativeness, and (iv) field-comparison evidence contextualizing legacy grid sampling. No ground-truth soil measurements were paired with this planning exercise; conclusions refer to internal GeoSampler metrics and distributional agreement only. Ground validation remains necessary to link covariate representativeness to soil property accuracy.</w:t>
      </w:r>
    </w:p>
    <w:p>
      <w:pPr>
        <w:pStyle w:val="Heading2"/>
      </w:pPr>
      <w:r>
        <w:t>3.10 Workflow summary</w:t>
      </w:r>
    </w:p>
    <w:p>
      <w:pPr>
        <w:pStyle w:val="ListNumber"/>
      </w:pPr>
      <w:r>
        <w:t>Upload field boundary → define AOI.</w:t>
      </w:r>
    </w:p>
    <w:p>
      <w:pPr>
        <w:pStyle w:val="ListNumber"/>
      </w:pPr>
      <w:r>
        <w:t>STAC search (1 Aug 2024–1 Feb 2025) → NDRE time-series review.</w:t>
      </w:r>
    </w:p>
    <w:p>
      <w:pPr>
        <w:pStyle w:val="ListNumber"/>
      </w:pPr>
      <w:r>
        <w:t>Rank scenes by NDRE spread → download highest-spread single scene.</w:t>
      </w:r>
    </w:p>
    <w:p>
      <w:pPr>
        <w:pStyle w:val="ListNumber"/>
      </w:pPr>
      <w:r>
        <w:t>Compute NDVI, NDRE, GNDVI, OSAVI, CIre, VARI.</w:t>
      </w:r>
    </w:p>
    <w:p>
      <w:pPr>
        <w:pStyle w:val="ListNumber"/>
      </w:pPr>
      <w:r>
        <w:t>Retrieve elevation → derive slope, aspect, TPI, TWI.</w:t>
      </w:r>
    </w:p>
    <w:p>
      <w:pPr>
        <w:pStyle w:val="ListNumber"/>
      </w:pPr>
      <w:r>
        <w:t>Apply Full preset (11 layers) → Technique comparison (six methods × sizes 20, 40, 50, 60; three repeats).</w:t>
      </w:r>
    </w:p>
    <w:p>
      <w:pPr>
        <w:pStyle w:val="ListNumber"/>
      </w:pPr>
      <w:r>
        <w:t>Generate using recommendation → export coordinates.</w:t>
      </w:r>
    </w:p>
    <w:p>
      <w:pPr>
        <w:pStyle w:val="ListNumber"/>
      </w:pPr>
      <w:r>
        <w:t>Population vs sample tables and distribution plots.</w:t>
      </w:r>
    </w:p>
    <w:p>
      <w:pPr>
        <w:pStyle w:val="ListNumber"/>
      </w:pPr>
      <w:r>
        <w:t>Field comparison: historical grid vs app points (map + violins).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