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FCDCD" w:themeColor="background2" w:themeShade="E5"/>
  <w:body>
    <w:p w14:paraId="09A2DB65" w14:textId="13C9BBFA" w:rsidR="00993D97" w:rsidRPr="00704E6C" w:rsidRDefault="00FF2D59" w:rsidP="00FF2D59">
      <w:pPr>
        <w:jc w:val="center"/>
        <w:rPr>
          <w:rFonts w:ascii="Baskerville Old Face" w:hAnsi="Baskerville Old Face"/>
          <w:b/>
          <w:bCs/>
          <w:sz w:val="72"/>
          <w:szCs w:val="72"/>
          <w:lang w:val="en-US"/>
        </w:rPr>
      </w:pPr>
      <w:r w:rsidRPr="00704E6C">
        <w:rPr>
          <w:rFonts w:ascii="Baskerville Old Face" w:hAnsi="Baskerville Old Face"/>
          <w:b/>
          <w:bCs/>
          <w:sz w:val="72"/>
          <w:szCs w:val="72"/>
          <w:lang w:val="en-US"/>
        </w:rPr>
        <w:t>INTRODUCTION</w:t>
      </w:r>
    </w:p>
    <w:p w14:paraId="436D3160" w14:textId="369DDCDB" w:rsidR="00FF16A0" w:rsidRDefault="00FF2D59" w:rsidP="00FF16A0">
      <w:pPr>
        <w:rPr>
          <w:sz w:val="36"/>
          <w:szCs w:val="36"/>
          <w:lang w:val="en-US"/>
        </w:rPr>
      </w:pPr>
      <w:r>
        <w:rPr>
          <w:sz w:val="36"/>
          <w:szCs w:val="36"/>
          <w:lang w:val="en-US"/>
        </w:rPr>
        <w:t xml:space="preserve">The Frankfurt institute for social research originally established in Germany in the year 1923 came to informally known as “The Frankfurt School” of Critical Social Theory. </w:t>
      </w:r>
      <w:r w:rsidR="005D7386">
        <w:rPr>
          <w:sz w:val="36"/>
          <w:szCs w:val="36"/>
          <w:lang w:val="en-US"/>
        </w:rPr>
        <w:t xml:space="preserve">Funded by Felix Weil a young and financially </w:t>
      </w:r>
      <w:r w:rsidR="00FF16A0">
        <w:rPr>
          <w:sz w:val="36"/>
          <w:szCs w:val="36"/>
          <w:lang w:val="en-US"/>
        </w:rPr>
        <w:t>well-off</w:t>
      </w:r>
      <w:r w:rsidR="005D7386">
        <w:rPr>
          <w:sz w:val="36"/>
          <w:szCs w:val="36"/>
          <w:lang w:val="en-US"/>
        </w:rPr>
        <w:t xml:space="preserve"> Marxist thinker, the goal of the institute was to bring together different strands of Marxist thinking into one interdisciplinary research center.</w:t>
      </w:r>
      <w:r w:rsidR="00FF16A0">
        <w:rPr>
          <w:sz w:val="36"/>
          <w:szCs w:val="36"/>
          <w:lang w:val="en-US"/>
        </w:rPr>
        <w:t xml:space="preserve"> </w:t>
      </w:r>
      <w:r w:rsidR="00FF16A0" w:rsidRPr="00FF16A0">
        <w:rPr>
          <w:sz w:val="36"/>
          <w:szCs w:val="36"/>
        </w:rPr>
        <w:t>Felix Weil’s father, Herman, made his fortune by exporting grain from Argentina to Europe. In 1923, Felix decided to use his father’s money to found an institute specifically devoted to the study of German society in the light of a Marxist approach. The initial idea of an independently founded institute was conceived to provide for studies on the labo</w:t>
      </w:r>
      <w:r w:rsidR="00FF16A0">
        <w:rPr>
          <w:sz w:val="36"/>
          <w:szCs w:val="36"/>
        </w:rPr>
        <w:t>u</w:t>
      </w:r>
      <w:r w:rsidR="00FF16A0" w:rsidRPr="00FF16A0">
        <w:rPr>
          <w:sz w:val="36"/>
          <w:szCs w:val="36"/>
        </w:rPr>
        <w:t>r movement and the origins of anti-Semitism, which at the time were being ignored in German intellectual and academic life.</w:t>
      </w:r>
    </w:p>
    <w:p w14:paraId="755B7034" w14:textId="3562151A" w:rsidR="0018139A" w:rsidRDefault="005D7386" w:rsidP="00FF16A0">
      <w:pPr>
        <w:rPr>
          <w:sz w:val="36"/>
          <w:szCs w:val="36"/>
        </w:rPr>
      </w:pPr>
      <w:r>
        <w:rPr>
          <w:sz w:val="36"/>
          <w:szCs w:val="36"/>
          <w:lang w:val="en-US"/>
        </w:rPr>
        <w:t xml:space="preserve"> The institute attracted some of the most important Marxist scholars of the time, over the course of the 1920s and 1930s. Three key historical events heavily shaped the thinking of the Frankfurt School. First the failure of the </w:t>
      </w:r>
      <w:r w:rsidR="0018139A">
        <w:rPr>
          <w:sz w:val="36"/>
          <w:szCs w:val="36"/>
          <w:lang w:val="en-US"/>
        </w:rPr>
        <w:t>working-class</w:t>
      </w:r>
      <w:r>
        <w:rPr>
          <w:sz w:val="36"/>
          <w:szCs w:val="36"/>
          <w:lang w:val="en-US"/>
        </w:rPr>
        <w:t xml:space="preserve"> </w:t>
      </w:r>
      <w:r w:rsidR="0018139A">
        <w:rPr>
          <w:sz w:val="36"/>
          <w:szCs w:val="36"/>
          <w:lang w:val="en-US"/>
        </w:rPr>
        <w:t>revolution that Marx had predicted in the Western Europe, second the rise of Nazism and third the expansion of capitalism into a new, “mass” form of production and consumption, often referred to as “Fordism” after the assembly line production practices of Henry Ford’s automotive company.</w:t>
      </w:r>
      <w:r w:rsidR="0018139A" w:rsidRPr="0018139A">
        <w:rPr>
          <w:sz w:val="36"/>
          <w:szCs w:val="36"/>
        </w:rPr>
        <w:t xml:space="preserve"> </w:t>
      </w:r>
      <w:r w:rsidR="0018139A" w:rsidRPr="0018139A">
        <w:rPr>
          <w:sz w:val="36"/>
          <w:szCs w:val="36"/>
        </w:rPr>
        <w:t xml:space="preserve">Confronted with modern historical events that Marx himself </w:t>
      </w:r>
      <w:r w:rsidR="0018139A" w:rsidRPr="0018139A">
        <w:rPr>
          <w:sz w:val="36"/>
          <w:szCs w:val="36"/>
        </w:rPr>
        <w:t>did not predict;</w:t>
      </w:r>
      <w:r w:rsidR="0018139A" w:rsidRPr="0018139A">
        <w:rPr>
          <w:sz w:val="36"/>
          <w:szCs w:val="36"/>
        </w:rPr>
        <w:t xml:space="preserve"> Frankfurt School </w:t>
      </w:r>
      <w:r w:rsidR="00775A1E">
        <w:rPr>
          <w:sz w:val="36"/>
          <w:szCs w:val="36"/>
        </w:rPr>
        <w:lastRenderedPageBreak/>
        <w:t xml:space="preserve">theorists </w:t>
      </w:r>
      <w:r w:rsidR="0018139A" w:rsidRPr="0018139A">
        <w:rPr>
          <w:sz w:val="36"/>
          <w:szCs w:val="36"/>
        </w:rPr>
        <w:t xml:space="preserve">began to redevelop Marxist thought to help them make sense of these new cultural conditions. In </w:t>
      </w:r>
      <w:r w:rsidR="0018139A" w:rsidRPr="0018139A">
        <w:rPr>
          <w:sz w:val="36"/>
          <w:szCs w:val="36"/>
        </w:rPr>
        <w:t>addition,</w:t>
      </w:r>
      <w:r w:rsidR="0018139A" w:rsidRPr="0018139A">
        <w:rPr>
          <w:sz w:val="36"/>
          <w:szCs w:val="36"/>
        </w:rPr>
        <w:t xml:space="preserve"> Marx, members of the Frankfurt School were influenced by the ideas of other major social theorists and philosophers such as Georg Hegel, Sigmund Freud, Max Weber, Friedrich Nietzsche and Immanuel Kant.</w:t>
      </w:r>
    </w:p>
    <w:p w14:paraId="3718ABD1" w14:textId="34EDAC68" w:rsidR="00775A1E" w:rsidRDefault="009B7384" w:rsidP="009B7384">
      <w:pPr>
        <w:rPr>
          <w:sz w:val="36"/>
          <w:szCs w:val="36"/>
        </w:rPr>
      </w:pPr>
      <w:r w:rsidRPr="009B7384">
        <w:rPr>
          <w:sz w:val="36"/>
          <w:szCs w:val="36"/>
        </w:rPr>
        <w:t>In 1930 Max Horkheimer became the director of the Institute and recruited many of the scholars who came to be known collectively as the Frankfurt School. They turned their attention to the problem of rule through ideology, or rule carried out in the realm of culture. They believed that technological advancements in communications and the reproduction of ideas enabled this form of rule.</w:t>
      </w:r>
      <w:r w:rsidR="00775A1E">
        <w:rPr>
          <w:sz w:val="36"/>
          <w:szCs w:val="36"/>
        </w:rPr>
        <w:t xml:space="preserve"> </w:t>
      </w:r>
    </w:p>
    <w:p w14:paraId="5360065D" w14:textId="7F0253C5" w:rsidR="009B7384" w:rsidRPr="009B7384" w:rsidRDefault="00775A1E" w:rsidP="009B7384">
      <w:pPr>
        <w:rPr>
          <w:sz w:val="36"/>
          <w:szCs w:val="36"/>
        </w:rPr>
      </w:pPr>
      <w:r w:rsidRPr="00775A1E">
        <w:rPr>
          <w:sz w:val="36"/>
          <w:szCs w:val="36"/>
        </w:rPr>
        <w:t>In 1933, due to the Nazi takeover, the Institute was temporarily transferred, first to Geneva and then in 1935 to Columbia University, New York. Two years later Horkheimer published the ideological manifesto of the School in his </w:t>
      </w:r>
      <w:r w:rsidRPr="00775A1E">
        <w:rPr>
          <w:i/>
          <w:iCs/>
          <w:sz w:val="36"/>
          <w:szCs w:val="36"/>
        </w:rPr>
        <w:t>Traditional and Critical Theory</w:t>
      </w:r>
      <w:r w:rsidRPr="00775A1E">
        <w:rPr>
          <w:sz w:val="36"/>
          <w:szCs w:val="36"/>
        </w:rPr>
        <w:t> ([1937] 1976) where he readdressed some of the previously introduced topics concerning the practical and critical turn of theory</w:t>
      </w:r>
      <w:r>
        <w:rPr>
          <w:sz w:val="36"/>
          <w:szCs w:val="36"/>
        </w:rPr>
        <w:t xml:space="preserve">. </w:t>
      </w:r>
      <w:r w:rsidRPr="00775A1E">
        <w:rPr>
          <w:sz w:val="36"/>
          <w:szCs w:val="36"/>
        </w:rPr>
        <w:t>During the time of Germany’s Nazi seizure, the Institute remained the only free voice publishing in German language. The backlash of this choice, though, was a prolonged isolation from American academic life and intellectual debate, a situation described by Adorno with the iconic expression “message in the bottle” to refer to the lack of a public American audience.</w:t>
      </w:r>
    </w:p>
    <w:p w14:paraId="2817612A" w14:textId="25E7D38E" w:rsidR="009B7384" w:rsidRDefault="009B7384" w:rsidP="00FF16A0">
      <w:pPr>
        <w:rPr>
          <w:sz w:val="36"/>
          <w:szCs w:val="36"/>
        </w:rPr>
      </w:pPr>
    </w:p>
    <w:p w14:paraId="49ABB58B" w14:textId="484B0D99" w:rsidR="00905E82" w:rsidRPr="00704E6C" w:rsidRDefault="00905E82" w:rsidP="00F94742">
      <w:pPr>
        <w:jc w:val="center"/>
        <w:rPr>
          <w:rFonts w:ascii="Baskerville Old Face" w:hAnsi="Baskerville Old Face"/>
          <w:b/>
          <w:bCs/>
          <w:sz w:val="72"/>
          <w:szCs w:val="72"/>
        </w:rPr>
      </w:pPr>
      <w:r w:rsidRPr="00704E6C">
        <w:rPr>
          <w:rFonts w:ascii="Baskerville Old Face" w:hAnsi="Baskerville Old Face"/>
          <w:b/>
          <w:bCs/>
          <w:sz w:val="72"/>
          <w:szCs w:val="72"/>
        </w:rPr>
        <w:lastRenderedPageBreak/>
        <w:t>WHAT IS CRITICAL THEORY?</w:t>
      </w:r>
    </w:p>
    <w:p w14:paraId="3FD706C3" w14:textId="77777777" w:rsidR="001A736A" w:rsidRPr="001A736A" w:rsidRDefault="00905E82" w:rsidP="001A736A">
      <w:pPr>
        <w:rPr>
          <w:sz w:val="36"/>
          <w:szCs w:val="36"/>
        </w:rPr>
      </w:pPr>
      <w:r>
        <w:rPr>
          <w:sz w:val="36"/>
          <w:szCs w:val="36"/>
        </w:rPr>
        <w:t xml:space="preserve">Asked Horkheimer in the opening of his </w:t>
      </w:r>
      <w:r w:rsidRPr="00905E82">
        <w:rPr>
          <w:i/>
          <w:iCs/>
          <w:sz w:val="36"/>
          <w:szCs w:val="36"/>
        </w:rPr>
        <w:t xml:space="preserve">Traditional and Critical Theory </w:t>
      </w:r>
      <w:r>
        <w:rPr>
          <w:sz w:val="36"/>
          <w:szCs w:val="36"/>
        </w:rPr>
        <w:t>essay. F</w:t>
      </w:r>
      <w:r w:rsidRPr="00905E82">
        <w:rPr>
          <w:sz w:val="36"/>
          <w:szCs w:val="36"/>
        </w:rPr>
        <w:t>or those critical theorists who have attempted since the beginning to clarify the specificity of what it means to be “critical”</w:t>
      </w:r>
      <w:r>
        <w:rPr>
          <w:sz w:val="36"/>
          <w:szCs w:val="36"/>
        </w:rPr>
        <w:t>, the discussion about method has always been the constant topic</w:t>
      </w:r>
      <w:r w:rsidRPr="00905E82">
        <w:rPr>
          <w:sz w:val="36"/>
          <w:szCs w:val="36"/>
        </w:rPr>
        <w:t>.</w:t>
      </w:r>
      <w:r w:rsidR="001A736A">
        <w:rPr>
          <w:sz w:val="36"/>
          <w:szCs w:val="36"/>
        </w:rPr>
        <w:t xml:space="preserve"> </w:t>
      </w:r>
      <w:r w:rsidR="001A736A" w:rsidRPr="001A736A">
        <w:rPr>
          <w:sz w:val="36"/>
          <w:szCs w:val="36"/>
        </w:rPr>
        <w:t>A primary broad distinction that Horkheimer drew was that of the difference in method between social theories, scientific theories and critical social theories. While the first two categories had been treated as instances of traditional theories, the latter connoted the methodology the Frankfurt School adopted.</w:t>
      </w:r>
    </w:p>
    <w:p w14:paraId="0A3DE3ED" w14:textId="04D363BC" w:rsidR="00F94742" w:rsidRDefault="00F94742" w:rsidP="00F94742">
      <w:pPr>
        <w:rPr>
          <w:sz w:val="36"/>
          <w:szCs w:val="36"/>
        </w:rPr>
      </w:pPr>
      <w:r w:rsidRPr="00F94742">
        <w:rPr>
          <w:sz w:val="36"/>
          <w:szCs w:val="36"/>
        </w:rPr>
        <w:t xml:space="preserve">Traditional theory, whether deductive or analytical, has always focused on coherency and on the strict distinction between theory and </w:t>
      </w:r>
      <w:r w:rsidRPr="00F94742">
        <w:rPr>
          <w:sz w:val="36"/>
          <w:szCs w:val="36"/>
        </w:rPr>
        <w:t>praxis</w:t>
      </w:r>
      <w:r>
        <w:rPr>
          <w:sz w:val="36"/>
          <w:szCs w:val="36"/>
        </w:rPr>
        <w:t xml:space="preserve"> </w:t>
      </w:r>
      <w:r w:rsidRPr="00F94742">
        <w:rPr>
          <w:sz w:val="36"/>
          <w:szCs w:val="36"/>
        </w:rPr>
        <w:t>whether deductive or analytical</w:t>
      </w:r>
      <w:r>
        <w:rPr>
          <w:sz w:val="36"/>
          <w:szCs w:val="36"/>
        </w:rPr>
        <w:t xml:space="preserve">. </w:t>
      </w:r>
      <w:r w:rsidRPr="00F94742">
        <w:rPr>
          <w:sz w:val="36"/>
          <w:szCs w:val="36"/>
        </w:rPr>
        <w:t xml:space="preserve">Along Cartesian lines, knowledge has been treated as grounded upon self-evident propositions or, at least, upon propositions based on self-evident truths. Accordingly, traditional theory has proceeded to explain facts by application of universal laws, that is, by subsumption of a particular to a universal in order to either confirm or disconfirm this. A verificationist procedure of this kind was what positivism considered to be the best explicatory account for the notion of praxis in scientific investigation. If one were to defend the view according to which scientific truths should pass the test of empirical confirmation, then one would commit oneself to the idea of an objective world. </w:t>
      </w:r>
      <w:r w:rsidRPr="00F94742">
        <w:rPr>
          <w:sz w:val="36"/>
          <w:szCs w:val="36"/>
        </w:rPr>
        <w:lastRenderedPageBreak/>
        <w:t>Knowledge would be simply a mirror</w:t>
      </w:r>
      <w:r w:rsidRPr="00F94742">
        <w:rPr>
          <w:i/>
          <w:iCs/>
          <w:sz w:val="36"/>
          <w:szCs w:val="36"/>
        </w:rPr>
        <w:t> </w:t>
      </w:r>
      <w:r w:rsidRPr="00F94742">
        <w:rPr>
          <w:sz w:val="36"/>
          <w:szCs w:val="36"/>
        </w:rPr>
        <w:t>of reality. This view is firmly rejected by critical theorists.</w:t>
      </w:r>
      <w:r>
        <w:rPr>
          <w:sz w:val="36"/>
          <w:szCs w:val="36"/>
        </w:rPr>
        <w:t xml:space="preserve"> </w:t>
      </w:r>
      <w:r w:rsidR="000473C4" w:rsidRPr="000473C4">
        <w:rPr>
          <w:sz w:val="36"/>
          <w:szCs w:val="36"/>
        </w:rPr>
        <w:t>Under several aspects, what Critical Theory wants to reject in traditional theory is precisely this “picture theory” of language and knowledge as that defined by “the first” Wittgenstein in his </w:t>
      </w:r>
      <w:proofErr w:type="spellStart"/>
      <w:r w:rsidR="000473C4" w:rsidRPr="000473C4">
        <w:rPr>
          <w:i/>
          <w:iCs/>
          <w:sz w:val="36"/>
          <w:szCs w:val="36"/>
        </w:rPr>
        <w:t>Tractatus</w:t>
      </w:r>
      <w:proofErr w:type="spellEnd"/>
      <w:r w:rsidR="000473C4" w:rsidRPr="000473C4">
        <w:rPr>
          <w:sz w:val="36"/>
          <w:szCs w:val="36"/>
        </w:rPr>
        <w:t>.</w:t>
      </w:r>
      <w:r w:rsidR="000473C4">
        <w:rPr>
          <w:sz w:val="36"/>
          <w:szCs w:val="36"/>
        </w:rPr>
        <w:t xml:space="preserve"> </w:t>
      </w:r>
      <w:r w:rsidR="000473C4" w:rsidRPr="000473C4">
        <w:rPr>
          <w:sz w:val="36"/>
          <w:szCs w:val="36"/>
        </w:rPr>
        <w:t>Horkheimer and his followers rejected the notion of </w:t>
      </w:r>
      <w:r w:rsidR="000473C4" w:rsidRPr="000473C4">
        <w:rPr>
          <w:i/>
          <w:iCs/>
          <w:sz w:val="36"/>
          <w:szCs w:val="36"/>
        </w:rPr>
        <w:t>objectivity</w:t>
      </w:r>
      <w:r w:rsidR="000473C4" w:rsidRPr="000473C4">
        <w:rPr>
          <w:sz w:val="36"/>
          <w:szCs w:val="36"/>
        </w:rPr>
        <w:t> in knowledge by pointing, among other things, to the fact that the object of knowledge is itself embedded into a historical and social process</w:t>
      </w:r>
      <w:r w:rsidR="000473C4">
        <w:rPr>
          <w:sz w:val="36"/>
          <w:szCs w:val="36"/>
        </w:rPr>
        <w:t xml:space="preserve">. </w:t>
      </w:r>
      <w:r w:rsidR="000473C4" w:rsidRPr="000473C4">
        <w:rPr>
          <w:sz w:val="36"/>
          <w:szCs w:val="36"/>
        </w:rPr>
        <w:t>If traditional theory is evaluated by considering its practical implications, then no practical consequences can be actually inferred.</w:t>
      </w:r>
      <w:r w:rsidR="000473C4">
        <w:rPr>
          <w:sz w:val="36"/>
          <w:szCs w:val="36"/>
        </w:rPr>
        <w:t xml:space="preserve"> </w:t>
      </w:r>
      <w:r w:rsidR="000473C4" w:rsidRPr="000473C4">
        <w:rPr>
          <w:sz w:val="36"/>
          <w:szCs w:val="36"/>
        </w:rPr>
        <w:t>Critical Theory has been strongly influenced by </w:t>
      </w:r>
      <w:r w:rsidR="000473C4" w:rsidRPr="00341D83">
        <w:rPr>
          <w:sz w:val="36"/>
          <w:szCs w:val="36"/>
        </w:rPr>
        <w:t>Hegel</w:t>
      </w:r>
      <w:r w:rsidR="000473C4" w:rsidRPr="000473C4">
        <w:rPr>
          <w:sz w:val="36"/>
          <w:szCs w:val="36"/>
        </w:rPr>
        <w:t>’s notion of dialectics for the conciliation of socio-historical oppositions as well as by Marx’s theory of economy and society and the limits of Hegel’s “bourgeois philosophy”.</w:t>
      </w:r>
      <w:r w:rsidR="000473C4">
        <w:rPr>
          <w:sz w:val="36"/>
          <w:szCs w:val="36"/>
        </w:rPr>
        <w:t xml:space="preserve"> </w:t>
      </w:r>
      <w:r w:rsidR="000473C4" w:rsidRPr="000473C4">
        <w:rPr>
          <w:sz w:val="36"/>
          <w:szCs w:val="36"/>
        </w:rPr>
        <w:t>Critical theorists, in their turn, rejected both the metaphysical apparatus of Hegel and the eschatological aspects connected to Marx’s theory. On the contrary, Critical Theory analyses were oriented to the understanding of society and pointed rather to the necessity of establishing </w:t>
      </w:r>
      <w:r w:rsidR="000473C4" w:rsidRPr="000473C4">
        <w:rPr>
          <w:i/>
          <w:iCs/>
          <w:sz w:val="36"/>
          <w:szCs w:val="36"/>
        </w:rPr>
        <w:t>open</w:t>
      </w:r>
      <w:r w:rsidR="000473C4" w:rsidRPr="000473C4">
        <w:rPr>
          <w:sz w:val="36"/>
          <w:szCs w:val="36"/>
        </w:rPr>
        <w:t> systems based on </w:t>
      </w:r>
      <w:r w:rsidR="000473C4" w:rsidRPr="000473C4">
        <w:rPr>
          <w:i/>
          <w:iCs/>
          <w:sz w:val="36"/>
          <w:szCs w:val="36"/>
        </w:rPr>
        <w:t>immanent forms of social criticism</w:t>
      </w:r>
      <w:r w:rsidR="000473C4" w:rsidRPr="000473C4">
        <w:rPr>
          <w:sz w:val="36"/>
          <w:szCs w:val="36"/>
        </w:rPr>
        <w:t>.</w:t>
      </w:r>
      <w:r w:rsidR="000473C4">
        <w:rPr>
          <w:sz w:val="36"/>
          <w:szCs w:val="36"/>
        </w:rPr>
        <w:t xml:space="preserve"> </w:t>
      </w:r>
    </w:p>
    <w:p w14:paraId="0497B028" w14:textId="77777777" w:rsidR="005B58D9" w:rsidRPr="005B58D9" w:rsidRDefault="005B58D9" w:rsidP="005B58D9">
      <w:pPr>
        <w:rPr>
          <w:b/>
          <w:bCs/>
          <w:sz w:val="36"/>
          <w:szCs w:val="36"/>
          <w:u w:val="single"/>
        </w:rPr>
      </w:pPr>
      <w:r w:rsidRPr="005B58D9">
        <w:rPr>
          <w:b/>
          <w:bCs/>
          <w:sz w:val="36"/>
          <w:szCs w:val="36"/>
          <w:u w:val="single"/>
        </w:rPr>
        <w:t>Traditional and Critical Theory: Ideology and Critique</w:t>
      </w:r>
    </w:p>
    <w:p w14:paraId="4A4D9F9C" w14:textId="77777777" w:rsidR="005B58D9" w:rsidRPr="005B58D9" w:rsidRDefault="005B58D9" w:rsidP="005B58D9">
      <w:pPr>
        <w:rPr>
          <w:sz w:val="36"/>
          <w:szCs w:val="36"/>
        </w:rPr>
      </w:pPr>
      <w:r w:rsidRPr="005B58D9">
        <w:rPr>
          <w:sz w:val="36"/>
          <w:szCs w:val="36"/>
        </w:rPr>
        <w:t xml:space="preserve">From these conceptually rich implications one can observe some of the constant topics which have characterized critical social theory, that is, the normativity of social philosophy as something distinct from classical descriptive sociology, the everlasting crux on the theory/practice relation and, finally, ideology critique. These are the primary tasks that a critical </w:t>
      </w:r>
      <w:r w:rsidRPr="005B58D9">
        <w:rPr>
          <w:sz w:val="36"/>
          <w:szCs w:val="36"/>
        </w:rPr>
        <w:lastRenderedPageBreak/>
        <w:t>social theory must accomplish in order to be defined as “critical”. Crucial in this sense is the understanding and the criticism of the notion of “ideology”.</w:t>
      </w:r>
    </w:p>
    <w:p w14:paraId="38FFA4C9" w14:textId="77777777" w:rsidR="00FD33AE" w:rsidRDefault="005B58D9" w:rsidP="00F94742">
      <w:pPr>
        <w:rPr>
          <w:sz w:val="36"/>
          <w:szCs w:val="36"/>
        </w:rPr>
      </w:pPr>
      <w:r w:rsidRPr="005B58D9">
        <w:rPr>
          <w:sz w:val="36"/>
          <w:szCs w:val="36"/>
        </w:rPr>
        <w:t>In defining the senses to be assigned to the notion of ideology, within its descriptive-empirical sense “one might study the biological and quasi-biological properties of the group” or, alternatively, “the cultural or socio-cultural features of the group”</w:t>
      </w:r>
      <w:r>
        <w:rPr>
          <w:sz w:val="36"/>
          <w:szCs w:val="36"/>
        </w:rPr>
        <w:t xml:space="preserve">. </w:t>
      </w:r>
      <w:r w:rsidRPr="005B58D9">
        <w:rPr>
          <w:sz w:val="36"/>
          <w:szCs w:val="36"/>
        </w:rPr>
        <w:t>Critical Theory, distances itself from scientific theories because, while the latter understands knowledge as an objectified product, the former serves the purpose of human emancipation through consciousness and self-reflection.</w:t>
      </w:r>
      <w:r>
        <w:rPr>
          <w:sz w:val="36"/>
          <w:szCs w:val="36"/>
        </w:rPr>
        <w:t xml:space="preserve"> </w:t>
      </w:r>
      <w:r w:rsidRPr="005B58D9">
        <w:rPr>
          <w:sz w:val="36"/>
          <w:szCs w:val="36"/>
        </w:rPr>
        <w:t>Critical Theory moves precisely in between the contingency of objectified non-critical factual reality and the normativity of utopian idealizations, that is, in between the so-called “theory/practice” problem</w:t>
      </w:r>
      <w:r>
        <w:rPr>
          <w:sz w:val="36"/>
          <w:szCs w:val="36"/>
        </w:rPr>
        <w:t xml:space="preserve">. </w:t>
      </w:r>
    </w:p>
    <w:p w14:paraId="0F497E94" w14:textId="77777777" w:rsidR="00FD33AE" w:rsidRDefault="00FD33AE" w:rsidP="00F94742">
      <w:pPr>
        <w:rPr>
          <w:sz w:val="36"/>
          <w:szCs w:val="36"/>
        </w:rPr>
      </w:pPr>
      <w:r w:rsidRPr="00FD33AE">
        <w:rPr>
          <w:sz w:val="36"/>
          <w:szCs w:val="36"/>
        </w:rPr>
        <w:t>The universality of such epistemological status differs profoundly from Adorno’s contextualism where individual epistemic principles grounding cultural criticism and self-reflection are recognized to be legitimately different along time and history. The central message is that Critical Theory, while drawing from Marxism, must avoid hypostatization and closure into a single </w:t>
      </w:r>
      <w:r w:rsidRPr="00FD33AE">
        <w:rPr>
          <w:i/>
          <w:iCs/>
          <w:sz w:val="36"/>
          <w:szCs w:val="36"/>
        </w:rPr>
        <w:t>Weltanschauung</w:t>
      </w:r>
      <w:r w:rsidRPr="00FD33AE">
        <w:rPr>
          <w:sz w:val="36"/>
          <w:szCs w:val="36"/>
        </w:rPr>
        <w:t xml:space="preserve"> on the pain of losing its “critical” capacity. By interpreting rationality as a form of self-reflective activity, Critical Theory represents a particular form of rational enquiry that must remain capable of distinguishing, immanently, ideology from a Hegelian “Spirit”. </w:t>
      </w:r>
    </w:p>
    <w:p w14:paraId="06CDEFB3" w14:textId="6486245B" w:rsidR="00FD33AE" w:rsidRPr="00341D83" w:rsidRDefault="00FD33AE" w:rsidP="00FD33AE">
      <w:pPr>
        <w:rPr>
          <w:b/>
          <w:bCs/>
          <w:sz w:val="36"/>
          <w:szCs w:val="36"/>
          <w:u w:val="single"/>
        </w:rPr>
      </w:pPr>
      <w:r w:rsidRPr="00341D83">
        <w:rPr>
          <w:b/>
          <w:bCs/>
          <w:sz w:val="36"/>
          <w:szCs w:val="36"/>
          <w:u w:val="single"/>
        </w:rPr>
        <w:t>The Theory/Practice Problem</w:t>
      </w:r>
    </w:p>
    <w:p w14:paraId="1FF8EDB1" w14:textId="77777777" w:rsidR="00F45AF1" w:rsidRDefault="00FD33AE" w:rsidP="00F45AF1">
      <w:pPr>
        <w:rPr>
          <w:sz w:val="36"/>
          <w:szCs w:val="36"/>
        </w:rPr>
      </w:pPr>
      <w:r w:rsidRPr="00FD33AE">
        <w:rPr>
          <w:sz w:val="36"/>
          <w:szCs w:val="36"/>
        </w:rPr>
        <w:lastRenderedPageBreak/>
        <w:t>During the entire course of its historical development, Critical Theory has always confronted itself with one crucial methodological concern: the “theory/practice” problem. To this puzzle critical theorists have provided different answers, such that it is not possible to regroup them into a homogeneous set of views. In order to understand what the significance of the theory/practice problem is, it is useful to refer back to David Hume’s “is/ought” question. What Hume demonstrated through the separation of the “is” from the “ought” was the non-derivability of prescriptive statements from descriptive ones. This separation has been at the basis of those ethical theories that have not recognized moral statements as a truth-property. In other words, alternative reading to the “is/ought” relation have defended either a cognitivist approach (truth-validity of moral statements) or, alternatively, a non-cognitivist approach (no truth-validity), as in the case of emotivism.</w:t>
      </w:r>
      <w:r>
        <w:rPr>
          <w:sz w:val="36"/>
          <w:szCs w:val="36"/>
        </w:rPr>
        <w:t xml:space="preserve"> </w:t>
      </w:r>
      <w:r w:rsidRPr="00FD33AE">
        <w:rPr>
          <w:sz w:val="36"/>
          <w:szCs w:val="36"/>
        </w:rPr>
        <w:t>As far as the anthropological determinants in closing up the gap of the “theory/practice” problem is concerned, it is possible to take into consideration Habermas’ </w:t>
      </w:r>
      <w:r w:rsidRPr="00FD33AE">
        <w:rPr>
          <w:i/>
          <w:iCs/>
          <w:sz w:val="36"/>
          <w:szCs w:val="36"/>
        </w:rPr>
        <w:t>Knowledge and Human Interest</w:t>
      </w:r>
      <w:r w:rsidRPr="00FD33AE">
        <w:rPr>
          <w:sz w:val="36"/>
          <w:szCs w:val="36"/>
        </w:rPr>
        <w:t> ([1968] 1971).</w:t>
      </w:r>
      <w:r>
        <w:rPr>
          <w:sz w:val="36"/>
          <w:szCs w:val="36"/>
        </w:rPr>
        <w:t xml:space="preserve"> </w:t>
      </w:r>
      <w:r w:rsidRPr="00FD33AE">
        <w:rPr>
          <w:sz w:val="36"/>
          <w:szCs w:val="36"/>
        </w:rPr>
        <w:t xml:space="preserve">The </w:t>
      </w:r>
      <w:proofErr w:type="spellStart"/>
      <w:r w:rsidRPr="00FD33AE">
        <w:rPr>
          <w:sz w:val="36"/>
          <w:szCs w:val="36"/>
        </w:rPr>
        <w:t>Habermasian</w:t>
      </w:r>
      <w:proofErr w:type="spellEnd"/>
      <w:r w:rsidRPr="00FD33AE">
        <w:rPr>
          <w:sz w:val="36"/>
          <w:szCs w:val="36"/>
        </w:rPr>
        <w:t xml:space="preserve"> answer to the theory/practice problem comes from the criticism of non-cognitivist theories.</w:t>
      </w:r>
      <w:r>
        <w:rPr>
          <w:sz w:val="36"/>
          <w:szCs w:val="36"/>
        </w:rPr>
        <w:t xml:space="preserve"> </w:t>
      </w:r>
      <w:r w:rsidR="00F45AF1" w:rsidRPr="00F45AF1">
        <w:rPr>
          <w:sz w:val="36"/>
          <w:szCs w:val="36"/>
        </w:rPr>
        <w:t>This procedure is aimed at justifying those generalizable interests that </w:t>
      </w:r>
      <w:r w:rsidR="00F45AF1" w:rsidRPr="00F45AF1">
        <w:rPr>
          <w:i/>
          <w:iCs/>
          <w:sz w:val="36"/>
          <w:szCs w:val="36"/>
        </w:rPr>
        <w:t>ought</w:t>
      </w:r>
      <w:r w:rsidR="00F45AF1" w:rsidRPr="00F45AF1">
        <w:rPr>
          <w:sz w:val="36"/>
          <w:szCs w:val="36"/>
        </w:rPr>
        <w:t> to be obeyed because they pass the test of moral validity.</w:t>
      </w:r>
    </w:p>
    <w:p w14:paraId="2E1E6E9B" w14:textId="49FF1B0F" w:rsidR="00F45AF1" w:rsidRDefault="00F45AF1" w:rsidP="00F45AF1">
      <w:pPr>
        <w:rPr>
          <w:sz w:val="36"/>
          <w:szCs w:val="36"/>
        </w:rPr>
      </w:pPr>
      <w:r w:rsidRPr="00F45AF1">
        <w:rPr>
          <w:sz w:val="36"/>
          <w:szCs w:val="36"/>
        </w:rPr>
        <w:t xml:space="preserve">The </w:t>
      </w:r>
      <w:proofErr w:type="spellStart"/>
      <w:r w:rsidRPr="00F45AF1">
        <w:rPr>
          <w:sz w:val="36"/>
          <w:szCs w:val="36"/>
        </w:rPr>
        <w:t>Habermasian</w:t>
      </w:r>
      <w:proofErr w:type="spellEnd"/>
      <w:r w:rsidRPr="00F45AF1">
        <w:rPr>
          <w:sz w:val="36"/>
          <w:szCs w:val="36"/>
        </w:rPr>
        <w:t xml:space="preserve"> answer to the is/ought question has several important implications. One implication, perhaps the most important one, is the criticism of positivism and of the epistemic status of knowledge.</w:t>
      </w:r>
      <w:r>
        <w:rPr>
          <w:sz w:val="36"/>
          <w:szCs w:val="36"/>
        </w:rPr>
        <w:t xml:space="preserve"> </w:t>
      </w:r>
      <w:r w:rsidRPr="00F45AF1">
        <w:rPr>
          <w:sz w:val="36"/>
          <w:szCs w:val="36"/>
        </w:rPr>
        <w:t xml:space="preserve">A further line of reflection on </w:t>
      </w:r>
      <w:r w:rsidRPr="00F45AF1">
        <w:rPr>
          <w:sz w:val="36"/>
          <w:szCs w:val="36"/>
        </w:rPr>
        <w:lastRenderedPageBreak/>
        <w:t>the theory/practice problem comes from psychoanalysis where a strict separation has been maintained between the “is” and “ought” and false “</w:t>
      </w:r>
      <w:r w:rsidRPr="00F45AF1">
        <w:rPr>
          <w:sz w:val="36"/>
          <w:szCs w:val="36"/>
        </w:rPr>
        <w:t>ought</w:t>
      </w:r>
      <w:r w:rsidRPr="00F45AF1">
        <w:rPr>
          <w:sz w:val="36"/>
          <w:szCs w:val="36"/>
        </w:rPr>
        <w:t>”</w:t>
      </w:r>
      <w:r w:rsidR="00341D83" w:rsidRPr="00F45AF1">
        <w:rPr>
          <w:sz w:val="36"/>
          <w:szCs w:val="36"/>
        </w:rPr>
        <w:t xml:space="preserve"> have</w:t>
      </w:r>
      <w:r w:rsidRPr="00F45AF1">
        <w:rPr>
          <w:sz w:val="36"/>
          <w:szCs w:val="36"/>
        </w:rPr>
        <w:t xml:space="preserve"> been unmasked through the clarification of the psychological mechanisms constructing desires.</w:t>
      </w:r>
      <w:r>
        <w:rPr>
          <w:sz w:val="36"/>
          <w:szCs w:val="36"/>
        </w:rPr>
        <w:t xml:space="preserve"> </w:t>
      </w:r>
      <w:r w:rsidRPr="00F45AF1">
        <w:rPr>
          <w:sz w:val="36"/>
          <w:szCs w:val="36"/>
        </w:rPr>
        <w:t>Notwithstanding the previous discussions, the greatest philosophical role of psychoanalysis within Frankfurt School was exemplified by Marcuse’s thought.</w:t>
      </w:r>
      <w:r>
        <w:rPr>
          <w:sz w:val="36"/>
          <w:szCs w:val="36"/>
        </w:rPr>
        <w:t xml:space="preserve"> </w:t>
      </w:r>
      <w:r w:rsidRPr="00F45AF1">
        <w:rPr>
          <w:sz w:val="36"/>
          <w:szCs w:val="36"/>
        </w:rPr>
        <w:t>Marcuse took imagination as a way to obtain individual reconciliation with social reality: a reconciliation, though, with an underlying unsolved tension. Marcuse conceived of overcoming such tensions through the aestheticization of basic instincts liberated by the work of imagination. The problem with Marcuse’s rationalization of basic instincts was that by relying excessively on human biology, it became impossible to distinguish between the truth and the falsity of socially dependent needs</w:t>
      </w:r>
      <w:r>
        <w:rPr>
          <w:sz w:val="36"/>
          <w:szCs w:val="36"/>
        </w:rPr>
        <w:t xml:space="preserve">. </w:t>
      </w:r>
    </w:p>
    <w:p w14:paraId="1E853E90" w14:textId="77777777" w:rsidR="00F45AF1" w:rsidRPr="00F45AF1" w:rsidRDefault="00F45AF1" w:rsidP="00F45AF1">
      <w:pPr>
        <w:rPr>
          <w:b/>
          <w:bCs/>
          <w:sz w:val="36"/>
          <w:szCs w:val="36"/>
          <w:u w:val="single"/>
        </w:rPr>
      </w:pPr>
      <w:r w:rsidRPr="00F45AF1">
        <w:rPr>
          <w:b/>
          <w:bCs/>
          <w:sz w:val="36"/>
          <w:szCs w:val="36"/>
          <w:u w:val="single"/>
        </w:rPr>
        <w:t>The Idea of Rationality: Critical Theory and its Discontents</w:t>
      </w:r>
    </w:p>
    <w:p w14:paraId="7071E249" w14:textId="3C121E7B" w:rsidR="00FD52D6" w:rsidRDefault="00F45AF1" w:rsidP="00F45AF1">
      <w:pPr>
        <w:rPr>
          <w:sz w:val="36"/>
          <w:szCs w:val="36"/>
        </w:rPr>
      </w:pPr>
      <w:r w:rsidRPr="00F45AF1">
        <w:rPr>
          <w:sz w:val="36"/>
          <w:szCs w:val="36"/>
        </w:rPr>
        <w:t>For Critical Theory, rationality has always been a crucial theme in the analysis of modern society as well as of its pathologies. Whereas the early Frankfurt School and Habermas viewed rationality as a historical process whose unity was taken as a precondition for social criticism, later critical philosophies, influenced mainly by post-modernity, privileged a rather more fragmented notion of (</w:t>
      </w:r>
      <w:proofErr w:type="spellStart"/>
      <w:r w:rsidRPr="00F45AF1">
        <w:rPr>
          <w:sz w:val="36"/>
          <w:szCs w:val="36"/>
        </w:rPr>
        <w:t>ir</w:t>
      </w:r>
      <w:proofErr w:type="spellEnd"/>
      <w:r w:rsidRPr="00F45AF1">
        <w:rPr>
          <w:sz w:val="36"/>
          <w:szCs w:val="36"/>
        </w:rPr>
        <w:t xml:space="preserve">)rationality manifested by social institutions. In the latter views, social criticism could not act as a self-reflective form of rationality, since rationality cannot be conceived as a process incorporated in history. One point shared by all critical </w:t>
      </w:r>
      <w:r w:rsidRPr="00F45AF1">
        <w:rPr>
          <w:sz w:val="36"/>
          <w:szCs w:val="36"/>
        </w:rPr>
        <w:lastRenderedPageBreak/>
        <w:t>theorists was that forms of social pathology were connected to deficits of rationality which, in their turn, manifested interconnections with the psychological status of the mind</w:t>
      </w:r>
      <w:r>
        <w:rPr>
          <w:sz w:val="36"/>
          <w:szCs w:val="36"/>
        </w:rPr>
        <w:t xml:space="preserve">. </w:t>
      </w:r>
      <w:r w:rsidR="00FD52D6" w:rsidRPr="00FD52D6">
        <w:rPr>
          <w:sz w:val="36"/>
          <w:szCs w:val="36"/>
        </w:rPr>
        <w:t>In non-pathological social aggregations, individuals were said to be capable of achieving cooperative forms of self-actualizations only if freed from coercive mechanisms of domination.</w:t>
      </w:r>
      <w:r w:rsidR="00FD52D6">
        <w:rPr>
          <w:sz w:val="36"/>
          <w:szCs w:val="36"/>
        </w:rPr>
        <w:t xml:space="preserve"> </w:t>
      </w:r>
      <w:r w:rsidR="00FD52D6" w:rsidRPr="00FD52D6">
        <w:rPr>
          <w:sz w:val="36"/>
          <w:szCs w:val="36"/>
        </w:rPr>
        <w:t>According to this view, reason had been seen essentially as a form of control over nature characterizing humanity since its inception, that is, since those attempts aimed at providing a mythological explanation of cosmic forces.</w:t>
      </w:r>
      <w:r w:rsidR="00FD52D6">
        <w:rPr>
          <w:sz w:val="36"/>
          <w:szCs w:val="36"/>
        </w:rPr>
        <w:t xml:space="preserve"> </w:t>
      </w:r>
      <w:r w:rsidR="00FD52D6" w:rsidRPr="00FD52D6">
        <w:rPr>
          <w:sz w:val="36"/>
          <w:szCs w:val="36"/>
        </w:rPr>
        <w:t>Rationality, thus, began assuming a double significance: on the one hand, as traditionally recognized by German idealism, it was conceived as the primary source of human emancipation; on the other, it was conceived as the premise of totalitarianism.</w:t>
      </w:r>
      <w:r w:rsidR="00FD52D6">
        <w:rPr>
          <w:sz w:val="36"/>
          <w:szCs w:val="36"/>
        </w:rPr>
        <w:t xml:space="preserve"> </w:t>
      </w:r>
      <w:r w:rsidR="00FD52D6" w:rsidRPr="00FD52D6">
        <w:rPr>
          <w:sz w:val="36"/>
          <w:szCs w:val="36"/>
        </w:rPr>
        <w:t xml:space="preserve">On the other hand, </w:t>
      </w:r>
      <w:proofErr w:type="spellStart"/>
      <w:r w:rsidR="00FD52D6" w:rsidRPr="00FD52D6">
        <w:rPr>
          <w:sz w:val="36"/>
          <w:szCs w:val="36"/>
        </w:rPr>
        <w:t>Habermasian</w:t>
      </w:r>
      <w:proofErr w:type="spellEnd"/>
      <w:r w:rsidR="00FD52D6" w:rsidRPr="00FD52D6">
        <w:rPr>
          <w:sz w:val="36"/>
          <w:szCs w:val="36"/>
        </w:rPr>
        <w:t xml:space="preserve"> theory of communicative action and discourse ethics, while remaining sensitive to contexts, pretended to defend transcendental conditions of discourse which, if violated, were seen to lead to performative contradictions. Last but not least, to the </w:t>
      </w:r>
      <w:proofErr w:type="spellStart"/>
      <w:r w:rsidR="00FD52D6" w:rsidRPr="00FD52D6">
        <w:rPr>
          <w:sz w:val="36"/>
          <w:szCs w:val="36"/>
        </w:rPr>
        <w:t>Habermasian</w:t>
      </w:r>
      <w:proofErr w:type="spellEnd"/>
      <w:r w:rsidR="00FD52D6" w:rsidRPr="00FD52D6">
        <w:rPr>
          <w:sz w:val="36"/>
          <w:szCs w:val="36"/>
        </w:rPr>
        <w:t xml:space="preserve"> role of consensus or agreement in discursive models, Foucault objected that rather than a regulatory principle, a true critical approach would simply enact a command in case of “</w:t>
      </w:r>
      <w:r w:rsidR="00FD52D6" w:rsidRPr="00FD52D6">
        <w:rPr>
          <w:sz w:val="36"/>
          <w:szCs w:val="36"/>
        </w:rPr>
        <w:t>non-consensual</w:t>
      </w:r>
      <w:r w:rsidR="00FD52D6">
        <w:rPr>
          <w:sz w:val="36"/>
          <w:szCs w:val="36"/>
        </w:rPr>
        <w:t>ly</w:t>
      </w:r>
      <w:r w:rsidR="00FD52D6" w:rsidRPr="00FD52D6">
        <w:rPr>
          <w:sz w:val="36"/>
          <w:szCs w:val="36"/>
        </w:rPr>
        <w:t>”</w:t>
      </w:r>
      <w:r w:rsidR="004A1A0B">
        <w:rPr>
          <w:sz w:val="36"/>
          <w:szCs w:val="36"/>
        </w:rPr>
        <w:t xml:space="preserve">. </w:t>
      </w:r>
    </w:p>
    <w:p w14:paraId="5DB0A327" w14:textId="77777777" w:rsidR="00FD52D6" w:rsidRDefault="00FD52D6" w:rsidP="00FD52D6">
      <w:pPr>
        <w:rPr>
          <w:sz w:val="36"/>
          <w:szCs w:val="36"/>
        </w:rPr>
      </w:pPr>
      <w:r w:rsidRPr="00FD52D6">
        <w:rPr>
          <w:sz w:val="36"/>
          <w:szCs w:val="36"/>
        </w:rPr>
        <w:t> </w:t>
      </w:r>
    </w:p>
    <w:p w14:paraId="510AACB1" w14:textId="77777777" w:rsidR="00FD52D6" w:rsidRDefault="00FD52D6" w:rsidP="00FD52D6">
      <w:pPr>
        <w:rPr>
          <w:sz w:val="36"/>
          <w:szCs w:val="36"/>
        </w:rPr>
      </w:pPr>
    </w:p>
    <w:p w14:paraId="1237B811" w14:textId="77777777" w:rsidR="00704E6C" w:rsidRDefault="00704E6C" w:rsidP="00704E6C">
      <w:pPr>
        <w:rPr>
          <w:sz w:val="36"/>
          <w:szCs w:val="36"/>
        </w:rPr>
      </w:pPr>
    </w:p>
    <w:p w14:paraId="658237DF" w14:textId="6710FFF1" w:rsidR="00FD52D6" w:rsidRPr="00704E6C" w:rsidRDefault="00FD52D6" w:rsidP="00704E6C">
      <w:pPr>
        <w:jc w:val="center"/>
        <w:rPr>
          <w:rFonts w:ascii="Baskerville Old Face" w:hAnsi="Baskerville Old Face"/>
          <w:b/>
          <w:bCs/>
          <w:color w:val="0D0D0D" w:themeColor="text1" w:themeTint="F2"/>
          <w:sz w:val="72"/>
          <w:szCs w:val="72"/>
          <w:lang w:val="en-US"/>
        </w:rPr>
      </w:pPr>
      <w:r w:rsidRPr="00704E6C">
        <w:rPr>
          <w:rFonts w:ascii="Baskerville Old Face" w:hAnsi="Baskerville Old Face"/>
          <w:b/>
          <w:bCs/>
          <w:color w:val="0D0D0D" w:themeColor="text1" w:themeTint="F2"/>
          <w:sz w:val="72"/>
          <w:szCs w:val="72"/>
          <w:lang w:val="en-US"/>
        </w:rPr>
        <w:lastRenderedPageBreak/>
        <w:t>ANALYSIS</w:t>
      </w:r>
    </w:p>
    <w:p w14:paraId="4FA65A3A" w14:textId="25A75C44" w:rsidR="00FD52D6" w:rsidRPr="00FD52D6" w:rsidRDefault="00FD52D6" w:rsidP="00FD52D6">
      <w:pPr>
        <w:rPr>
          <w:b/>
          <w:bCs/>
          <w:sz w:val="36"/>
          <w:szCs w:val="36"/>
          <w:u w:val="single"/>
        </w:rPr>
      </w:pPr>
      <w:r w:rsidRPr="00FD52D6">
        <w:rPr>
          <w:b/>
          <w:bCs/>
          <w:sz w:val="36"/>
          <w:szCs w:val="36"/>
          <w:u w:val="single"/>
        </w:rPr>
        <w:t>Max Horkheimer</w:t>
      </w:r>
    </w:p>
    <w:p w14:paraId="3BE03258" w14:textId="77777777" w:rsidR="00FD52D6" w:rsidRPr="00FD52D6" w:rsidRDefault="00FD52D6" w:rsidP="00FD52D6">
      <w:pPr>
        <w:rPr>
          <w:sz w:val="36"/>
          <w:szCs w:val="36"/>
        </w:rPr>
      </w:pPr>
      <w:r w:rsidRPr="00FD52D6">
        <w:rPr>
          <w:sz w:val="36"/>
          <w:szCs w:val="36"/>
        </w:rPr>
        <w:t>Horkheimer was one of the first and most important scholars associated with the Institute for Social Research, being appointed director of the school in 1930 and remaining in that position until his retirement in the late 1950s. Horkheimer first developed the concept of “critical theory” in his 1937 book, </w:t>
      </w:r>
      <w:r w:rsidRPr="00FD52D6">
        <w:rPr>
          <w:i/>
          <w:iCs/>
          <w:sz w:val="36"/>
          <w:szCs w:val="36"/>
        </w:rPr>
        <w:t>Traditional and Critical Theory</w:t>
      </w:r>
      <w:r w:rsidRPr="00FD52D6">
        <w:rPr>
          <w:sz w:val="36"/>
          <w:szCs w:val="36"/>
        </w:rPr>
        <w:t>. Horkheimer argued that while traditional theory attempted to remain in the purely objective, observational mode of neutrally describing the “laws” of social life, critical theory sought to self-critically examine and expose the structures of society for the purposes of human emancipation. The term “critical theory” came to characterize the thought of the entire Frankfurt School.</w:t>
      </w:r>
    </w:p>
    <w:p w14:paraId="22F83A8E" w14:textId="77777777" w:rsidR="00FD52D6" w:rsidRPr="00FD52D6" w:rsidRDefault="00FD52D6" w:rsidP="00FD52D6">
      <w:pPr>
        <w:rPr>
          <w:sz w:val="36"/>
          <w:szCs w:val="36"/>
        </w:rPr>
      </w:pPr>
      <w:r w:rsidRPr="00FD52D6">
        <w:rPr>
          <w:sz w:val="36"/>
          <w:szCs w:val="36"/>
        </w:rPr>
        <w:t>Horkheimer is perhaps best known for his book </w:t>
      </w:r>
      <w:r w:rsidRPr="00FD52D6">
        <w:rPr>
          <w:i/>
          <w:iCs/>
          <w:sz w:val="36"/>
          <w:szCs w:val="36"/>
        </w:rPr>
        <w:t>The Dialectic of Enlightenment</w:t>
      </w:r>
      <w:r w:rsidRPr="00FD52D6">
        <w:rPr>
          <w:sz w:val="36"/>
          <w:szCs w:val="36"/>
        </w:rPr>
        <w:t>, which he co-authored with Theodor Adorno. Horkheimer and Adorno offer a penetrating critique of modernity, arguing that while the Enlightenment promised the liberation of humanity through reason, modern life is characterized by domination. In this book, the authors explain the historical sources of modern forms of domination and attempt to resuscitate the liberating promises of Enlightenment thought.</w:t>
      </w:r>
    </w:p>
    <w:p w14:paraId="51ECA30B" w14:textId="77777777" w:rsidR="00FD52D6" w:rsidRPr="00341D83" w:rsidRDefault="00FD52D6" w:rsidP="00FD52D6">
      <w:pPr>
        <w:rPr>
          <w:b/>
          <w:bCs/>
          <w:sz w:val="36"/>
          <w:szCs w:val="36"/>
          <w:u w:val="single"/>
        </w:rPr>
      </w:pPr>
      <w:r w:rsidRPr="00FD52D6">
        <w:rPr>
          <w:b/>
          <w:bCs/>
          <w:sz w:val="36"/>
          <w:szCs w:val="36"/>
          <w:u w:val="single"/>
        </w:rPr>
        <w:t>Theodor W. Adorno</w:t>
      </w:r>
    </w:p>
    <w:p w14:paraId="7DF128E3" w14:textId="7E37B329" w:rsidR="00FD52D6" w:rsidRDefault="00FD52D6" w:rsidP="00FD52D6">
      <w:pPr>
        <w:rPr>
          <w:sz w:val="36"/>
          <w:szCs w:val="36"/>
        </w:rPr>
      </w:pPr>
      <w:r w:rsidRPr="00FD52D6">
        <w:rPr>
          <w:sz w:val="36"/>
          <w:szCs w:val="36"/>
        </w:rPr>
        <w:lastRenderedPageBreak/>
        <w:t>Adorno became director of the Institute for Social Research in 1958, after Horkheimer’s retirement. Along with co-authoring </w:t>
      </w:r>
      <w:r w:rsidRPr="00FD52D6">
        <w:rPr>
          <w:i/>
          <w:iCs/>
          <w:sz w:val="36"/>
          <w:szCs w:val="36"/>
        </w:rPr>
        <w:t>The Dialectic of Enlightenment</w:t>
      </w:r>
      <w:r w:rsidRPr="00FD52D6">
        <w:rPr>
          <w:sz w:val="36"/>
          <w:szCs w:val="36"/>
        </w:rPr>
        <w:t>, Adorno wrote several other influential books, including </w:t>
      </w:r>
      <w:r w:rsidRPr="00FD52D6">
        <w:rPr>
          <w:i/>
          <w:iCs/>
          <w:sz w:val="36"/>
          <w:szCs w:val="36"/>
        </w:rPr>
        <w:t>The Authoritarian Personality</w:t>
      </w:r>
      <w:r w:rsidRPr="00FD52D6">
        <w:rPr>
          <w:sz w:val="36"/>
          <w:szCs w:val="36"/>
        </w:rPr>
        <w:t> and </w:t>
      </w:r>
      <w:r w:rsidRPr="00FD52D6">
        <w:rPr>
          <w:i/>
          <w:iCs/>
          <w:sz w:val="36"/>
          <w:szCs w:val="36"/>
        </w:rPr>
        <w:t xml:space="preserve">Minima </w:t>
      </w:r>
      <w:proofErr w:type="spellStart"/>
      <w:r w:rsidRPr="00FD52D6">
        <w:rPr>
          <w:i/>
          <w:iCs/>
          <w:sz w:val="36"/>
          <w:szCs w:val="36"/>
        </w:rPr>
        <w:t>Moralia</w:t>
      </w:r>
      <w:proofErr w:type="spellEnd"/>
      <w:r w:rsidRPr="00FD52D6">
        <w:rPr>
          <w:sz w:val="36"/>
          <w:szCs w:val="36"/>
        </w:rPr>
        <w:t>. </w:t>
      </w:r>
      <w:r w:rsidRPr="00FD52D6">
        <w:rPr>
          <w:i/>
          <w:iCs/>
          <w:sz w:val="36"/>
          <w:szCs w:val="36"/>
        </w:rPr>
        <w:t>The Authoritarian Personality </w:t>
      </w:r>
      <w:r w:rsidRPr="00FD52D6">
        <w:rPr>
          <w:sz w:val="36"/>
          <w:szCs w:val="36"/>
        </w:rPr>
        <w:t xml:space="preserve">was Adorno’s attempt to understand what kinds of character traits could lead to the fascist tendencies which characterized German Nazism. In the book, Adorno developed a Freudian social-psychological model that identified nine personality traits he argued were associated with fascist thought and </w:t>
      </w:r>
      <w:proofErr w:type="spellStart"/>
      <w:r w:rsidRPr="00FD52D6">
        <w:rPr>
          <w:sz w:val="36"/>
          <w:szCs w:val="36"/>
        </w:rPr>
        <w:t>behavior</w:t>
      </w:r>
      <w:proofErr w:type="spellEnd"/>
      <w:r w:rsidRPr="00FD52D6">
        <w:rPr>
          <w:sz w:val="36"/>
          <w:szCs w:val="36"/>
        </w:rPr>
        <w:t>. </w:t>
      </w:r>
      <w:r w:rsidRPr="00FD52D6">
        <w:rPr>
          <w:i/>
          <w:iCs/>
          <w:sz w:val="36"/>
          <w:szCs w:val="36"/>
        </w:rPr>
        <w:t xml:space="preserve">Minima </w:t>
      </w:r>
      <w:proofErr w:type="spellStart"/>
      <w:r w:rsidRPr="00FD52D6">
        <w:rPr>
          <w:i/>
          <w:iCs/>
          <w:sz w:val="36"/>
          <w:szCs w:val="36"/>
        </w:rPr>
        <w:t>Moralia</w:t>
      </w:r>
      <w:proofErr w:type="spellEnd"/>
      <w:r w:rsidRPr="00FD52D6">
        <w:rPr>
          <w:i/>
          <w:iCs/>
          <w:sz w:val="36"/>
          <w:szCs w:val="36"/>
        </w:rPr>
        <w:t> </w:t>
      </w:r>
      <w:r w:rsidRPr="00FD52D6">
        <w:rPr>
          <w:sz w:val="36"/>
          <w:szCs w:val="36"/>
        </w:rPr>
        <w:t>is Adorno’s critique of the amoral character of modern society, arguing through a short series of self-reflective essays that the ethical pursuit of living a good life is no longer possible under modern social conditions.</w:t>
      </w:r>
    </w:p>
    <w:p w14:paraId="69B9E607" w14:textId="77777777" w:rsidR="004A1A0B" w:rsidRDefault="004A1A0B" w:rsidP="00FD52D6">
      <w:pPr>
        <w:jc w:val="center"/>
        <w:rPr>
          <w:b/>
          <w:bCs/>
          <w:sz w:val="56"/>
          <w:szCs w:val="56"/>
        </w:rPr>
      </w:pPr>
    </w:p>
    <w:p w14:paraId="5F56D400" w14:textId="77777777" w:rsidR="004A1A0B" w:rsidRDefault="004A1A0B" w:rsidP="00FD52D6">
      <w:pPr>
        <w:jc w:val="center"/>
        <w:rPr>
          <w:b/>
          <w:bCs/>
          <w:sz w:val="56"/>
          <w:szCs w:val="56"/>
        </w:rPr>
      </w:pPr>
    </w:p>
    <w:p w14:paraId="79176EC4" w14:textId="77777777" w:rsidR="004A1A0B" w:rsidRDefault="004A1A0B" w:rsidP="00FD52D6">
      <w:pPr>
        <w:jc w:val="center"/>
        <w:rPr>
          <w:b/>
          <w:bCs/>
          <w:sz w:val="56"/>
          <w:szCs w:val="56"/>
        </w:rPr>
      </w:pPr>
    </w:p>
    <w:p w14:paraId="333F3F16" w14:textId="77777777" w:rsidR="004A1A0B" w:rsidRDefault="004A1A0B" w:rsidP="00FD52D6">
      <w:pPr>
        <w:jc w:val="center"/>
        <w:rPr>
          <w:b/>
          <w:bCs/>
          <w:sz w:val="56"/>
          <w:szCs w:val="56"/>
        </w:rPr>
      </w:pPr>
    </w:p>
    <w:p w14:paraId="437A5326" w14:textId="77777777" w:rsidR="004A1A0B" w:rsidRDefault="004A1A0B" w:rsidP="00FD52D6">
      <w:pPr>
        <w:jc w:val="center"/>
        <w:rPr>
          <w:b/>
          <w:bCs/>
          <w:sz w:val="56"/>
          <w:szCs w:val="56"/>
        </w:rPr>
      </w:pPr>
    </w:p>
    <w:p w14:paraId="6718A9A8" w14:textId="77777777" w:rsidR="004A1A0B" w:rsidRDefault="004A1A0B" w:rsidP="00FD52D6">
      <w:pPr>
        <w:jc w:val="center"/>
        <w:rPr>
          <w:b/>
          <w:bCs/>
          <w:sz w:val="56"/>
          <w:szCs w:val="56"/>
        </w:rPr>
      </w:pPr>
    </w:p>
    <w:p w14:paraId="65FE256E" w14:textId="77777777" w:rsidR="00704E6C" w:rsidRDefault="00704E6C" w:rsidP="00704E6C">
      <w:pPr>
        <w:rPr>
          <w:b/>
          <w:bCs/>
          <w:sz w:val="56"/>
          <w:szCs w:val="56"/>
        </w:rPr>
      </w:pPr>
    </w:p>
    <w:p w14:paraId="39E127C0" w14:textId="74366644" w:rsidR="00FD52D6" w:rsidRPr="00FD52D6" w:rsidRDefault="00FD52D6" w:rsidP="00704E6C">
      <w:pPr>
        <w:jc w:val="center"/>
        <w:rPr>
          <w:rFonts w:ascii="Baskerville Old Face" w:hAnsi="Baskerville Old Face"/>
          <w:b/>
          <w:bCs/>
          <w:sz w:val="72"/>
          <w:szCs w:val="72"/>
        </w:rPr>
      </w:pPr>
      <w:r w:rsidRPr="00704E6C">
        <w:rPr>
          <w:rFonts w:ascii="Baskerville Old Face" w:hAnsi="Baskerville Old Face"/>
          <w:b/>
          <w:bCs/>
          <w:sz w:val="72"/>
          <w:szCs w:val="72"/>
        </w:rPr>
        <w:lastRenderedPageBreak/>
        <w:t>CONCLUSION</w:t>
      </w:r>
    </w:p>
    <w:p w14:paraId="7ED960F2" w14:textId="77777777" w:rsidR="004A1A0B" w:rsidRPr="004A1A0B" w:rsidRDefault="004A1A0B" w:rsidP="004A1A0B">
      <w:pPr>
        <w:rPr>
          <w:sz w:val="36"/>
          <w:szCs w:val="36"/>
        </w:rPr>
      </w:pPr>
      <w:r w:rsidRPr="004A1A0B">
        <w:rPr>
          <w:sz w:val="36"/>
          <w:szCs w:val="36"/>
        </w:rPr>
        <w:t>How the Frankfurt School Matters Today</w:t>
      </w:r>
    </w:p>
    <w:p w14:paraId="74692A42" w14:textId="77777777" w:rsidR="004A1A0B" w:rsidRPr="004A1A0B" w:rsidRDefault="004A1A0B" w:rsidP="004A1A0B">
      <w:pPr>
        <w:rPr>
          <w:sz w:val="36"/>
          <w:szCs w:val="36"/>
        </w:rPr>
      </w:pPr>
      <w:r w:rsidRPr="004A1A0B">
        <w:rPr>
          <w:sz w:val="36"/>
          <w:szCs w:val="36"/>
        </w:rPr>
        <w:t xml:space="preserve">The theories of the Frankfurt School continue to inspire people both within and outside of academia. In academia, the Frankfurt School has inspired new generations of critical theorists, including major contemporary scholars like Axel </w:t>
      </w:r>
      <w:proofErr w:type="spellStart"/>
      <w:r w:rsidRPr="004A1A0B">
        <w:rPr>
          <w:sz w:val="36"/>
          <w:szCs w:val="36"/>
        </w:rPr>
        <w:t>Honneth</w:t>
      </w:r>
      <w:proofErr w:type="spellEnd"/>
      <w:r w:rsidRPr="004A1A0B">
        <w:rPr>
          <w:sz w:val="36"/>
          <w:szCs w:val="36"/>
        </w:rPr>
        <w:t xml:space="preserve">, Nancy Fraser, </w:t>
      </w:r>
      <w:proofErr w:type="spellStart"/>
      <w:r w:rsidRPr="004A1A0B">
        <w:rPr>
          <w:sz w:val="36"/>
          <w:szCs w:val="36"/>
        </w:rPr>
        <w:t>Seyla</w:t>
      </w:r>
      <w:proofErr w:type="spellEnd"/>
      <w:r w:rsidRPr="004A1A0B">
        <w:rPr>
          <w:sz w:val="36"/>
          <w:szCs w:val="36"/>
        </w:rPr>
        <w:t xml:space="preserve"> </w:t>
      </w:r>
      <w:proofErr w:type="spellStart"/>
      <w:r w:rsidRPr="004A1A0B">
        <w:rPr>
          <w:sz w:val="36"/>
          <w:szCs w:val="36"/>
        </w:rPr>
        <w:t>Benhabib</w:t>
      </w:r>
      <w:proofErr w:type="spellEnd"/>
      <w:r w:rsidRPr="004A1A0B">
        <w:rPr>
          <w:sz w:val="36"/>
          <w:szCs w:val="36"/>
        </w:rPr>
        <w:t xml:space="preserve">, Fredric Jameson, and Nikolas </w:t>
      </w:r>
      <w:proofErr w:type="spellStart"/>
      <w:r w:rsidRPr="004A1A0B">
        <w:rPr>
          <w:sz w:val="36"/>
          <w:szCs w:val="36"/>
        </w:rPr>
        <w:t>Kompridis</w:t>
      </w:r>
      <w:proofErr w:type="spellEnd"/>
      <w:r w:rsidRPr="004A1A0B">
        <w:rPr>
          <w:sz w:val="36"/>
          <w:szCs w:val="36"/>
        </w:rPr>
        <w:t>. Outside of academia, the writings of the Frankfurt School theorists continue to inspire leftist, pro-democracy, and anti-</w:t>
      </w:r>
      <w:proofErr w:type="spellStart"/>
      <w:r w:rsidRPr="004A1A0B">
        <w:rPr>
          <w:sz w:val="36"/>
          <w:szCs w:val="36"/>
        </w:rPr>
        <w:t>captialist</w:t>
      </w:r>
      <w:proofErr w:type="spellEnd"/>
      <w:r w:rsidRPr="004A1A0B">
        <w:rPr>
          <w:sz w:val="36"/>
          <w:szCs w:val="36"/>
        </w:rPr>
        <w:t xml:space="preserve"> political activists alike. While the scholars of the Frankfurt School can easily be accused of being overly pessimistic (even Habermas thought so), it is hard to come away from their readings about rationalization and mass culture without a deeper and more critical understanding of the dark side of modern social life. The Frankfurt School wrote with a critical edge and urgency that is arguably without parallel in contemporary social theory.</w:t>
      </w:r>
    </w:p>
    <w:p w14:paraId="6C3AA648" w14:textId="44FD46FD" w:rsidR="004A1A0B" w:rsidRPr="004A1A0B" w:rsidRDefault="004A1A0B" w:rsidP="004A1A0B">
      <w:pPr>
        <w:rPr>
          <w:sz w:val="36"/>
          <w:szCs w:val="36"/>
        </w:rPr>
      </w:pPr>
      <w:r w:rsidRPr="004A1A0B">
        <w:rPr>
          <w:sz w:val="36"/>
          <w:szCs w:val="36"/>
        </w:rPr>
        <w:t>The debate between Foucault and Critical Theory—in particular with Habermas—is quite illuminating of the common critical-universalist orientations of the first phase of the Frankfurt School </w:t>
      </w:r>
      <w:r w:rsidRPr="004A1A0B">
        <w:rPr>
          <w:i/>
          <w:iCs/>
          <w:sz w:val="36"/>
          <w:szCs w:val="36"/>
        </w:rPr>
        <w:t>versus</w:t>
      </w:r>
      <w:r w:rsidRPr="004A1A0B">
        <w:rPr>
          <w:sz w:val="36"/>
          <w:szCs w:val="36"/>
        </w:rPr>
        <w:t xml:space="preserve"> the diverging methodologies defended starting from the </w:t>
      </w:r>
      <w:proofErr w:type="spellStart"/>
      <w:r w:rsidRPr="004A1A0B">
        <w:rPr>
          <w:sz w:val="36"/>
          <w:szCs w:val="36"/>
        </w:rPr>
        <w:t>Habermasian</w:t>
      </w:r>
      <w:proofErr w:type="spellEnd"/>
      <w:r w:rsidRPr="004A1A0B">
        <w:rPr>
          <w:sz w:val="36"/>
          <w:szCs w:val="36"/>
        </w:rPr>
        <w:t xml:space="preserve"> interpretation of modernity. For Foucault it was not correct to propose a second-order theory for defining what rationality is.</w:t>
      </w:r>
      <w:r>
        <w:rPr>
          <w:sz w:val="36"/>
          <w:szCs w:val="36"/>
        </w:rPr>
        <w:t xml:space="preserve"> </w:t>
      </w:r>
      <w:r w:rsidRPr="004A1A0B">
        <w:rPr>
          <w:sz w:val="36"/>
          <w:szCs w:val="36"/>
        </w:rPr>
        <w:t>For Habermas, criticism is possible only if universal standards of validity are recognized and only if understanding (</w:t>
      </w:r>
      <w:proofErr w:type="spellStart"/>
      <w:r w:rsidRPr="004A1A0B">
        <w:rPr>
          <w:i/>
          <w:iCs/>
          <w:sz w:val="36"/>
          <w:szCs w:val="36"/>
        </w:rPr>
        <w:t>Verständigung</w:t>
      </w:r>
      <w:proofErr w:type="spellEnd"/>
      <w:r w:rsidRPr="004A1A0B">
        <w:rPr>
          <w:sz w:val="36"/>
          <w:szCs w:val="36"/>
        </w:rPr>
        <w:t>) and agreement (</w:t>
      </w:r>
      <w:proofErr w:type="spellStart"/>
      <w:r w:rsidRPr="004A1A0B">
        <w:rPr>
          <w:i/>
          <w:iCs/>
          <w:sz w:val="36"/>
          <w:szCs w:val="36"/>
        </w:rPr>
        <w:t>Einverständnis</w:t>
      </w:r>
      <w:proofErr w:type="spellEnd"/>
      <w:r w:rsidRPr="004A1A0B">
        <w:rPr>
          <w:sz w:val="36"/>
          <w:szCs w:val="36"/>
        </w:rPr>
        <w:t xml:space="preserve">) are seen as </w:t>
      </w:r>
      <w:r w:rsidRPr="004A1A0B">
        <w:rPr>
          <w:sz w:val="36"/>
          <w:szCs w:val="36"/>
        </w:rPr>
        <w:lastRenderedPageBreak/>
        <w:t>interconnected practices.</w:t>
      </w:r>
      <w:r>
        <w:rPr>
          <w:sz w:val="36"/>
          <w:szCs w:val="36"/>
        </w:rPr>
        <w:t xml:space="preserve"> </w:t>
      </w:r>
      <w:r w:rsidRPr="004A1A0B">
        <w:rPr>
          <w:sz w:val="36"/>
          <w:szCs w:val="36"/>
        </w:rPr>
        <w:t xml:space="preserve">A further line of criticism against Habermas, one which included also a target to Critical Theory as a whole, came from scholars like Chantal </w:t>
      </w:r>
      <w:proofErr w:type="spellStart"/>
      <w:r w:rsidRPr="004A1A0B">
        <w:rPr>
          <w:sz w:val="36"/>
          <w:szCs w:val="36"/>
        </w:rPr>
        <w:t>Mouffe</w:t>
      </w:r>
      <w:proofErr w:type="spellEnd"/>
      <w:r w:rsidRPr="004A1A0B">
        <w:rPr>
          <w:sz w:val="36"/>
          <w:szCs w:val="36"/>
        </w:rPr>
        <w:t xml:space="preserve"> (2005). What she noticed is that in the notion of consensus it nested a surrendering to a genuine engagement into “political agonism”.</w:t>
      </w:r>
      <w:r>
        <w:rPr>
          <w:sz w:val="36"/>
          <w:szCs w:val="36"/>
        </w:rPr>
        <w:t xml:space="preserve"> </w:t>
      </w:r>
    </w:p>
    <w:p w14:paraId="15E5A76A" w14:textId="210A0D45" w:rsidR="00F45AF1" w:rsidRPr="00FD33AE" w:rsidRDefault="00F45AF1" w:rsidP="00F45AF1">
      <w:pPr>
        <w:rPr>
          <w:sz w:val="36"/>
          <w:szCs w:val="36"/>
        </w:rPr>
      </w:pPr>
    </w:p>
    <w:p w14:paraId="48428680" w14:textId="0B241D47" w:rsidR="005B58D9" w:rsidRPr="00F94742" w:rsidRDefault="005B58D9" w:rsidP="00F94742">
      <w:pPr>
        <w:rPr>
          <w:sz w:val="36"/>
          <w:szCs w:val="36"/>
        </w:rPr>
      </w:pPr>
    </w:p>
    <w:p w14:paraId="02558A2A" w14:textId="372B45DA" w:rsidR="00905E82" w:rsidRPr="00905E82" w:rsidRDefault="00905E82" w:rsidP="00FF16A0">
      <w:pPr>
        <w:rPr>
          <w:sz w:val="36"/>
          <w:szCs w:val="36"/>
        </w:rPr>
      </w:pPr>
    </w:p>
    <w:p w14:paraId="3D3D297B" w14:textId="4FEC5F25" w:rsidR="00FF2D59" w:rsidRPr="00FF2D59" w:rsidRDefault="0018139A" w:rsidP="00FF2D59">
      <w:pPr>
        <w:jc w:val="center"/>
        <w:rPr>
          <w:sz w:val="36"/>
          <w:szCs w:val="36"/>
          <w:lang w:val="en-US"/>
        </w:rPr>
      </w:pPr>
      <w:r>
        <w:rPr>
          <w:sz w:val="36"/>
          <w:szCs w:val="36"/>
          <w:lang w:val="en-US"/>
        </w:rPr>
        <w:t xml:space="preserve"> </w:t>
      </w:r>
    </w:p>
    <w:sectPr w:rsidR="00FF2D59" w:rsidRPr="00FF2D59" w:rsidSect="00341D83">
      <w:pgSz w:w="11906" w:h="16838"/>
      <w:pgMar w:top="1440" w:right="1440" w:bottom="1440" w:left="1440" w:header="708" w:footer="708" w:gutter="0"/>
      <w:pgBorders w:offsetFrom="page">
        <w:top w:val="thinThickThinSmallGap" w:sz="36" w:space="24" w:color="000000" w:themeColor="text1"/>
        <w:left w:val="thinThickThinSmallGap" w:sz="36" w:space="24" w:color="000000" w:themeColor="text1"/>
        <w:bottom w:val="thinThickThinSmallGap" w:sz="36" w:space="24" w:color="000000" w:themeColor="text1"/>
        <w:right w:val="thinThickThinSmallGap" w:sz="36"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D59"/>
    <w:rsid w:val="000473C4"/>
    <w:rsid w:val="0018139A"/>
    <w:rsid w:val="001A736A"/>
    <w:rsid w:val="00341D83"/>
    <w:rsid w:val="00352970"/>
    <w:rsid w:val="004A1A0B"/>
    <w:rsid w:val="005B58D9"/>
    <w:rsid w:val="005D7386"/>
    <w:rsid w:val="00704E6C"/>
    <w:rsid w:val="00775A1E"/>
    <w:rsid w:val="00905E82"/>
    <w:rsid w:val="00993D97"/>
    <w:rsid w:val="009B7384"/>
    <w:rsid w:val="00F45AF1"/>
    <w:rsid w:val="00F94742"/>
    <w:rsid w:val="00FD33AE"/>
    <w:rsid w:val="00FD52D6"/>
    <w:rsid w:val="00FF16A0"/>
    <w:rsid w:val="00FF2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06"/>
      <o:colormenu v:ext="edit" fillcolor="none [2894]"/>
    </o:shapedefaults>
    <o:shapelayout v:ext="edit">
      <o:idmap v:ext="edit" data="1"/>
    </o:shapelayout>
  </w:shapeDefaults>
  <w:decimalSymbol w:val="."/>
  <w:listSeparator w:val=","/>
  <w14:docId w14:val="480AEE16"/>
  <w15:chartTrackingRefBased/>
  <w15:docId w15:val="{E454A36C-BB87-4BE4-89C3-87AC6E26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7384"/>
    <w:rPr>
      <w:color w:val="0563C1" w:themeColor="hyperlink"/>
      <w:u w:val="single"/>
    </w:rPr>
  </w:style>
  <w:style w:type="character" w:styleId="UnresolvedMention">
    <w:name w:val="Unresolved Mention"/>
    <w:basedOn w:val="DefaultParagraphFont"/>
    <w:uiPriority w:val="99"/>
    <w:semiHidden/>
    <w:unhideWhenUsed/>
    <w:rsid w:val="009B7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12</Pages>
  <Words>2411</Words>
  <Characters>13748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Ranjan</dc:creator>
  <cp:keywords/>
  <dc:description/>
  <cp:lastModifiedBy>Sunita Ranjan</cp:lastModifiedBy>
  <cp:revision>1</cp:revision>
  <dcterms:created xsi:type="dcterms:W3CDTF">2022-01-03T20:30:00Z</dcterms:created>
  <dcterms:modified xsi:type="dcterms:W3CDTF">2022-01-03T22:55:00Z</dcterms:modified>
</cp:coreProperties>
</file>